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37241" w14:textId="07F81634" w:rsidR="009D1891" w:rsidRPr="005C1827" w:rsidRDefault="009D1891" w:rsidP="009D1891">
      <w:pPr>
        <w:pStyle w:val="a3"/>
      </w:pPr>
      <w:r w:rsidRPr="005C1827">
        <w:t xml:space="preserve">Αξιολόγηση επιλεξιμότητας επενδυτικών σχεδίων στο πλαίσιο των δανείων του </w:t>
      </w:r>
      <w:r w:rsidR="00DA55B9" w:rsidRPr="005C1827">
        <w:t>Ταμείου Ανάκαμψης και Ανθεκτικότητας</w:t>
      </w:r>
    </w:p>
    <w:p w14:paraId="537883C9" w14:textId="34BCCF2B" w:rsidR="00FC0FF7" w:rsidRPr="005C1827" w:rsidRDefault="00FC0FF7" w:rsidP="00FC0FF7">
      <w:r w:rsidRPr="005C1827">
        <w:t>Κείμενο Δημόσιας Διαβούλευσης</w:t>
      </w:r>
    </w:p>
    <w:p w14:paraId="6CFF7B32" w14:textId="77777777" w:rsidR="008E40B6" w:rsidRPr="005C1827" w:rsidRDefault="008E40B6" w:rsidP="008E40B6"/>
    <w:sdt>
      <w:sdtPr>
        <w:rPr>
          <w:rFonts w:asciiTheme="minorHAnsi" w:eastAsiaTheme="minorHAnsi" w:hAnsiTheme="minorHAnsi" w:cstheme="minorBidi"/>
          <w:color w:val="auto"/>
          <w:sz w:val="22"/>
          <w:szCs w:val="22"/>
        </w:rPr>
        <w:id w:val="-276487152"/>
        <w:docPartObj>
          <w:docPartGallery w:val="Table of Contents"/>
          <w:docPartUnique/>
        </w:docPartObj>
      </w:sdtPr>
      <w:sdtEndPr>
        <w:rPr>
          <w:b/>
          <w:bCs/>
          <w:noProof/>
        </w:rPr>
      </w:sdtEndPr>
      <w:sdtContent>
        <w:p w14:paraId="07F9B429" w14:textId="77777777" w:rsidR="008E40B6" w:rsidRPr="005C1827" w:rsidRDefault="008E40B6" w:rsidP="008E40B6">
          <w:pPr>
            <w:pStyle w:val="a6"/>
            <w:numPr>
              <w:ilvl w:val="0"/>
              <w:numId w:val="0"/>
            </w:numPr>
            <w:rPr>
              <w:color w:val="auto"/>
            </w:rPr>
          </w:pPr>
          <w:r w:rsidRPr="005C1827">
            <w:rPr>
              <w:color w:val="auto"/>
            </w:rPr>
            <w:t>Περιεχόμενα</w:t>
          </w:r>
        </w:p>
        <w:p w14:paraId="0BC9580C" w14:textId="4C1180DA" w:rsidR="00FF2FF9" w:rsidRPr="005C1827" w:rsidRDefault="008E40B6">
          <w:pPr>
            <w:pStyle w:val="10"/>
            <w:rPr>
              <w:rFonts w:eastAsiaTheme="minorEastAsia"/>
              <w:noProof/>
              <w:lang w:val="en-US"/>
            </w:rPr>
          </w:pPr>
          <w:r w:rsidRPr="005C1827">
            <w:fldChar w:fldCharType="begin"/>
          </w:r>
          <w:r w:rsidRPr="005C1827">
            <w:instrText xml:space="preserve"> TOC \o "1-3" \h \z \u </w:instrText>
          </w:r>
          <w:r w:rsidRPr="005C1827">
            <w:fldChar w:fldCharType="separate"/>
          </w:r>
          <w:hyperlink w:anchor="_Toc83050006" w:history="1">
            <w:r w:rsidR="00FF2FF9" w:rsidRPr="005C1827">
              <w:rPr>
                <w:rStyle w:val="-"/>
                <w:noProof/>
                <w:color w:val="auto"/>
              </w:rPr>
              <w:t>1</w:t>
            </w:r>
            <w:r w:rsidR="00FF2FF9" w:rsidRPr="005C1827">
              <w:rPr>
                <w:rFonts w:eastAsiaTheme="minorEastAsia"/>
                <w:noProof/>
                <w:lang w:val="en-US"/>
              </w:rPr>
              <w:tab/>
            </w:r>
            <w:r w:rsidR="00FF2FF9" w:rsidRPr="005C1827">
              <w:rPr>
                <w:rStyle w:val="-"/>
                <w:noProof/>
                <w:color w:val="auto"/>
              </w:rPr>
              <w:t>Επιτελική Σύνοψη</w:t>
            </w:r>
            <w:r w:rsidR="00FF2FF9" w:rsidRPr="005C1827">
              <w:rPr>
                <w:noProof/>
                <w:webHidden/>
              </w:rPr>
              <w:tab/>
            </w:r>
            <w:r w:rsidR="00FF2FF9" w:rsidRPr="005C1827">
              <w:rPr>
                <w:noProof/>
                <w:webHidden/>
              </w:rPr>
              <w:fldChar w:fldCharType="begin"/>
            </w:r>
            <w:r w:rsidR="00FF2FF9" w:rsidRPr="005C1827">
              <w:rPr>
                <w:noProof/>
                <w:webHidden/>
              </w:rPr>
              <w:instrText xml:space="preserve"> PAGEREF _Toc83050006 \h </w:instrText>
            </w:r>
            <w:r w:rsidR="00FF2FF9" w:rsidRPr="005C1827">
              <w:rPr>
                <w:noProof/>
                <w:webHidden/>
              </w:rPr>
            </w:r>
            <w:r w:rsidR="00FF2FF9" w:rsidRPr="005C1827">
              <w:rPr>
                <w:noProof/>
                <w:webHidden/>
              </w:rPr>
              <w:fldChar w:fldCharType="separate"/>
            </w:r>
            <w:r w:rsidR="00A86378">
              <w:rPr>
                <w:noProof/>
                <w:webHidden/>
              </w:rPr>
              <w:t>2</w:t>
            </w:r>
            <w:r w:rsidR="00FF2FF9" w:rsidRPr="005C1827">
              <w:rPr>
                <w:noProof/>
                <w:webHidden/>
              </w:rPr>
              <w:fldChar w:fldCharType="end"/>
            </w:r>
          </w:hyperlink>
        </w:p>
        <w:p w14:paraId="4643743D" w14:textId="3D7DD1F0" w:rsidR="00FF2FF9" w:rsidRPr="005C1827" w:rsidRDefault="00653C5D">
          <w:pPr>
            <w:pStyle w:val="20"/>
            <w:rPr>
              <w:rFonts w:eastAsiaTheme="minorEastAsia"/>
              <w:noProof/>
              <w:sz w:val="22"/>
              <w:lang w:val="en-US"/>
            </w:rPr>
          </w:pPr>
          <w:hyperlink w:anchor="_Toc83050007" w:history="1">
            <w:r w:rsidR="00FF2FF9" w:rsidRPr="005C1827">
              <w:rPr>
                <w:rStyle w:val="-"/>
                <w:noProof/>
                <w:color w:val="auto"/>
              </w:rPr>
              <w:t>1.1</w:t>
            </w:r>
            <w:r w:rsidR="00FF2FF9" w:rsidRPr="005C1827">
              <w:rPr>
                <w:rFonts w:eastAsiaTheme="minorEastAsia"/>
                <w:noProof/>
                <w:sz w:val="22"/>
                <w:lang w:val="en-US"/>
              </w:rPr>
              <w:tab/>
            </w:r>
            <w:r w:rsidR="00FF2FF9" w:rsidRPr="005C1827">
              <w:rPr>
                <w:rStyle w:val="-"/>
                <w:noProof/>
                <w:color w:val="auto"/>
              </w:rPr>
              <w:t>Απαιτήσεις τεκμηρίωσης επενδυτικού σχεδίου από τον επενδυτή</w:t>
            </w:r>
            <w:r w:rsidR="00FF2FF9" w:rsidRPr="005C1827">
              <w:rPr>
                <w:noProof/>
                <w:webHidden/>
              </w:rPr>
              <w:tab/>
            </w:r>
            <w:r w:rsidR="00FF2FF9" w:rsidRPr="005C1827">
              <w:rPr>
                <w:noProof/>
                <w:webHidden/>
              </w:rPr>
              <w:fldChar w:fldCharType="begin"/>
            </w:r>
            <w:r w:rsidR="00FF2FF9" w:rsidRPr="005C1827">
              <w:rPr>
                <w:noProof/>
                <w:webHidden/>
              </w:rPr>
              <w:instrText xml:space="preserve"> PAGEREF _Toc83050007 \h </w:instrText>
            </w:r>
            <w:r w:rsidR="00FF2FF9" w:rsidRPr="005C1827">
              <w:rPr>
                <w:noProof/>
                <w:webHidden/>
              </w:rPr>
            </w:r>
            <w:r w:rsidR="00FF2FF9" w:rsidRPr="005C1827">
              <w:rPr>
                <w:noProof/>
                <w:webHidden/>
              </w:rPr>
              <w:fldChar w:fldCharType="separate"/>
            </w:r>
            <w:r w:rsidR="00A86378">
              <w:rPr>
                <w:noProof/>
                <w:webHidden/>
              </w:rPr>
              <w:t>4</w:t>
            </w:r>
            <w:r w:rsidR="00FF2FF9" w:rsidRPr="005C1827">
              <w:rPr>
                <w:noProof/>
                <w:webHidden/>
              </w:rPr>
              <w:fldChar w:fldCharType="end"/>
            </w:r>
          </w:hyperlink>
        </w:p>
        <w:p w14:paraId="24CF24A0" w14:textId="55A39BAE" w:rsidR="00FF2FF9" w:rsidRPr="005C1827" w:rsidRDefault="00653C5D">
          <w:pPr>
            <w:pStyle w:val="20"/>
            <w:rPr>
              <w:rFonts w:eastAsiaTheme="minorEastAsia"/>
              <w:noProof/>
              <w:sz w:val="22"/>
              <w:lang w:val="en-US"/>
            </w:rPr>
          </w:pPr>
          <w:hyperlink w:anchor="_Toc83050008" w:history="1">
            <w:r w:rsidR="00FF2FF9" w:rsidRPr="005C1827">
              <w:rPr>
                <w:rStyle w:val="-"/>
                <w:noProof/>
                <w:color w:val="auto"/>
              </w:rPr>
              <w:t>1.2</w:t>
            </w:r>
            <w:r w:rsidR="00FF2FF9" w:rsidRPr="005C1827">
              <w:rPr>
                <w:rFonts w:eastAsiaTheme="minorEastAsia"/>
                <w:noProof/>
                <w:sz w:val="22"/>
                <w:lang w:val="en-US"/>
              </w:rPr>
              <w:tab/>
            </w:r>
            <w:r w:rsidR="00FF2FF9" w:rsidRPr="005C1827">
              <w:rPr>
                <w:rStyle w:val="-"/>
                <w:noProof/>
                <w:color w:val="auto"/>
              </w:rPr>
              <w:t>Απαιτήσεις τεκμηρίωσης επενδυτικού σχεδίου από τραπεζικό ίδρυμα</w:t>
            </w:r>
            <w:r w:rsidR="00FF2FF9" w:rsidRPr="005C1827">
              <w:rPr>
                <w:noProof/>
                <w:webHidden/>
              </w:rPr>
              <w:tab/>
            </w:r>
            <w:r w:rsidR="00FF2FF9" w:rsidRPr="005C1827">
              <w:rPr>
                <w:noProof/>
                <w:webHidden/>
              </w:rPr>
              <w:fldChar w:fldCharType="begin"/>
            </w:r>
            <w:r w:rsidR="00FF2FF9" w:rsidRPr="005C1827">
              <w:rPr>
                <w:noProof/>
                <w:webHidden/>
              </w:rPr>
              <w:instrText xml:space="preserve"> PAGEREF _Toc83050008 \h </w:instrText>
            </w:r>
            <w:r w:rsidR="00FF2FF9" w:rsidRPr="005C1827">
              <w:rPr>
                <w:noProof/>
                <w:webHidden/>
              </w:rPr>
            </w:r>
            <w:r w:rsidR="00FF2FF9" w:rsidRPr="005C1827">
              <w:rPr>
                <w:noProof/>
                <w:webHidden/>
              </w:rPr>
              <w:fldChar w:fldCharType="separate"/>
            </w:r>
            <w:r w:rsidR="00A86378">
              <w:rPr>
                <w:noProof/>
                <w:webHidden/>
              </w:rPr>
              <w:t>4</w:t>
            </w:r>
            <w:r w:rsidR="00FF2FF9" w:rsidRPr="005C1827">
              <w:rPr>
                <w:noProof/>
                <w:webHidden/>
              </w:rPr>
              <w:fldChar w:fldCharType="end"/>
            </w:r>
          </w:hyperlink>
        </w:p>
        <w:p w14:paraId="39BCC725" w14:textId="6AAF171E" w:rsidR="00FF2FF9" w:rsidRPr="005C1827" w:rsidRDefault="00653C5D">
          <w:pPr>
            <w:pStyle w:val="20"/>
            <w:rPr>
              <w:rFonts w:eastAsiaTheme="minorEastAsia"/>
              <w:noProof/>
              <w:sz w:val="22"/>
              <w:lang w:val="en-US"/>
            </w:rPr>
          </w:pPr>
          <w:hyperlink w:anchor="_Toc83050009" w:history="1">
            <w:r w:rsidR="00FF2FF9" w:rsidRPr="005C1827">
              <w:rPr>
                <w:rStyle w:val="-"/>
                <w:noProof/>
                <w:color w:val="auto"/>
              </w:rPr>
              <w:t>1.3</w:t>
            </w:r>
            <w:r w:rsidR="00FF2FF9" w:rsidRPr="005C1827">
              <w:rPr>
                <w:rFonts w:eastAsiaTheme="minorEastAsia"/>
                <w:noProof/>
                <w:sz w:val="22"/>
                <w:lang w:val="en-US"/>
              </w:rPr>
              <w:tab/>
            </w:r>
            <w:r w:rsidR="00FF2FF9" w:rsidRPr="005C1827">
              <w:rPr>
                <w:rStyle w:val="-"/>
                <w:noProof/>
                <w:color w:val="auto"/>
              </w:rPr>
              <w:t>Αξιολόγηση ύπαρξης επιλέξιμου επενδυτικού σχεδίου</w:t>
            </w:r>
            <w:r w:rsidR="00FF2FF9" w:rsidRPr="005C1827">
              <w:rPr>
                <w:noProof/>
                <w:webHidden/>
              </w:rPr>
              <w:tab/>
            </w:r>
            <w:r w:rsidR="00FF2FF9" w:rsidRPr="005C1827">
              <w:rPr>
                <w:noProof/>
                <w:webHidden/>
              </w:rPr>
              <w:fldChar w:fldCharType="begin"/>
            </w:r>
            <w:r w:rsidR="00FF2FF9" w:rsidRPr="005C1827">
              <w:rPr>
                <w:noProof/>
                <w:webHidden/>
              </w:rPr>
              <w:instrText xml:space="preserve"> PAGEREF _Toc83050009 \h </w:instrText>
            </w:r>
            <w:r w:rsidR="00FF2FF9" w:rsidRPr="005C1827">
              <w:rPr>
                <w:noProof/>
                <w:webHidden/>
              </w:rPr>
            </w:r>
            <w:r w:rsidR="00FF2FF9" w:rsidRPr="005C1827">
              <w:rPr>
                <w:noProof/>
                <w:webHidden/>
              </w:rPr>
              <w:fldChar w:fldCharType="separate"/>
            </w:r>
            <w:r w:rsidR="00A86378">
              <w:rPr>
                <w:noProof/>
                <w:webHidden/>
              </w:rPr>
              <w:t>4</w:t>
            </w:r>
            <w:r w:rsidR="00FF2FF9" w:rsidRPr="005C1827">
              <w:rPr>
                <w:noProof/>
                <w:webHidden/>
              </w:rPr>
              <w:fldChar w:fldCharType="end"/>
            </w:r>
          </w:hyperlink>
        </w:p>
        <w:p w14:paraId="1A30B90D" w14:textId="374750C6" w:rsidR="00FF2FF9" w:rsidRPr="005C1827" w:rsidRDefault="00653C5D">
          <w:pPr>
            <w:pStyle w:val="20"/>
            <w:rPr>
              <w:rFonts w:eastAsiaTheme="minorEastAsia"/>
              <w:noProof/>
              <w:sz w:val="22"/>
              <w:lang w:val="en-US"/>
            </w:rPr>
          </w:pPr>
          <w:hyperlink w:anchor="_Toc83050010" w:history="1">
            <w:r w:rsidR="00FF2FF9" w:rsidRPr="005C1827">
              <w:rPr>
                <w:rStyle w:val="-"/>
                <w:noProof/>
                <w:color w:val="auto"/>
              </w:rPr>
              <w:t>1.4</w:t>
            </w:r>
            <w:r w:rsidR="00FF2FF9" w:rsidRPr="005C1827">
              <w:rPr>
                <w:rFonts w:eastAsiaTheme="minorEastAsia"/>
                <w:noProof/>
                <w:sz w:val="22"/>
                <w:lang w:val="en-US"/>
              </w:rPr>
              <w:tab/>
            </w:r>
            <w:r w:rsidR="00FF2FF9" w:rsidRPr="005C1827">
              <w:rPr>
                <w:rStyle w:val="-"/>
                <w:noProof/>
                <w:color w:val="auto"/>
              </w:rPr>
              <w:t>Αξιολόγηση επιλεξιμότητας επενδυτικού σχεδίου με βάση την συμμόρφωση του με την Αρχή μη πρόκλησης σημαντικής βλάβης (DNSH Principle)</w:t>
            </w:r>
            <w:r w:rsidR="00FF2FF9" w:rsidRPr="005C1827">
              <w:rPr>
                <w:noProof/>
                <w:webHidden/>
              </w:rPr>
              <w:tab/>
            </w:r>
            <w:r w:rsidR="00FF2FF9" w:rsidRPr="005C1827">
              <w:rPr>
                <w:noProof/>
                <w:webHidden/>
              </w:rPr>
              <w:fldChar w:fldCharType="begin"/>
            </w:r>
            <w:r w:rsidR="00FF2FF9" w:rsidRPr="005C1827">
              <w:rPr>
                <w:noProof/>
                <w:webHidden/>
              </w:rPr>
              <w:instrText xml:space="preserve"> PAGEREF _Toc83050010 \h </w:instrText>
            </w:r>
            <w:r w:rsidR="00FF2FF9" w:rsidRPr="005C1827">
              <w:rPr>
                <w:noProof/>
                <w:webHidden/>
              </w:rPr>
            </w:r>
            <w:r w:rsidR="00FF2FF9" w:rsidRPr="005C1827">
              <w:rPr>
                <w:noProof/>
                <w:webHidden/>
              </w:rPr>
              <w:fldChar w:fldCharType="separate"/>
            </w:r>
            <w:r w:rsidR="00A86378">
              <w:rPr>
                <w:noProof/>
                <w:webHidden/>
              </w:rPr>
              <w:t>6</w:t>
            </w:r>
            <w:r w:rsidR="00FF2FF9" w:rsidRPr="005C1827">
              <w:rPr>
                <w:noProof/>
                <w:webHidden/>
              </w:rPr>
              <w:fldChar w:fldCharType="end"/>
            </w:r>
          </w:hyperlink>
        </w:p>
        <w:p w14:paraId="5A37DCB2" w14:textId="078ACB2E" w:rsidR="00FF2FF9" w:rsidRPr="005C1827" w:rsidRDefault="00653C5D">
          <w:pPr>
            <w:pStyle w:val="20"/>
            <w:rPr>
              <w:rFonts w:eastAsiaTheme="minorEastAsia"/>
              <w:noProof/>
              <w:sz w:val="22"/>
              <w:lang w:val="en-US"/>
            </w:rPr>
          </w:pPr>
          <w:hyperlink w:anchor="_Toc83050011" w:history="1">
            <w:r w:rsidR="00FF2FF9" w:rsidRPr="005C1827">
              <w:rPr>
                <w:rStyle w:val="-"/>
                <w:noProof/>
                <w:color w:val="auto"/>
              </w:rPr>
              <w:t>1.5</w:t>
            </w:r>
            <w:r w:rsidR="00FF2FF9" w:rsidRPr="005C1827">
              <w:rPr>
                <w:rFonts w:eastAsiaTheme="minorEastAsia"/>
                <w:noProof/>
                <w:sz w:val="22"/>
                <w:lang w:val="en-US"/>
              </w:rPr>
              <w:tab/>
            </w:r>
            <w:r w:rsidR="00FF2FF9" w:rsidRPr="005C1827">
              <w:rPr>
                <w:rStyle w:val="-"/>
                <w:noProof/>
                <w:color w:val="auto"/>
              </w:rPr>
              <w:t>Αξιολόγηση επιλεξιμότητας επενδυτικού σχεδίου με τους στόχους του ΕΣΑΑ και καθορισμός του ύψους του δανείου ΤΑΑ</w:t>
            </w:r>
            <w:r w:rsidR="00FF2FF9" w:rsidRPr="005C1827">
              <w:rPr>
                <w:noProof/>
                <w:webHidden/>
              </w:rPr>
              <w:tab/>
            </w:r>
            <w:r w:rsidR="00FF2FF9" w:rsidRPr="005C1827">
              <w:rPr>
                <w:noProof/>
                <w:webHidden/>
              </w:rPr>
              <w:fldChar w:fldCharType="begin"/>
            </w:r>
            <w:r w:rsidR="00FF2FF9" w:rsidRPr="005C1827">
              <w:rPr>
                <w:noProof/>
                <w:webHidden/>
              </w:rPr>
              <w:instrText xml:space="preserve"> PAGEREF _Toc83050011 \h </w:instrText>
            </w:r>
            <w:r w:rsidR="00FF2FF9" w:rsidRPr="005C1827">
              <w:rPr>
                <w:noProof/>
                <w:webHidden/>
              </w:rPr>
            </w:r>
            <w:r w:rsidR="00FF2FF9" w:rsidRPr="005C1827">
              <w:rPr>
                <w:noProof/>
                <w:webHidden/>
              </w:rPr>
              <w:fldChar w:fldCharType="separate"/>
            </w:r>
            <w:r w:rsidR="00A86378">
              <w:rPr>
                <w:noProof/>
                <w:webHidden/>
              </w:rPr>
              <w:t>6</w:t>
            </w:r>
            <w:r w:rsidR="00FF2FF9" w:rsidRPr="005C1827">
              <w:rPr>
                <w:noProof/>
                <w:webHidden/>
              </w:rPr>
              <w:fldChar w:fldCharType="end"/>
            </w:r>
          </w:hyperlink>
        </w:p>
        <w:p w14:paraId="2C1A829D" w14:textId="3366B4EE" w:rsidR="00FF2FF9" w:rsidRPr="005C1827" w:rsidRDefault="00653C5D">
          <w:pPr>
            <w:pStyle w:val="20"/>
            <w:rPr>
              <w:rFonts w:eastAsiaTheme="minorEastAsia"/>
              <w:noProof/>
              <w:sz w:val="22"/>
              <w:lang w:val="en-US"/>
            </w:rPr>
          </w:pPr>
          <w:hyperlink w:anchor="_Toc83050012" w:history="1">
            <w:r w:rsidR="00FF2FF9" w:rsidRPr="005C1827">
              <w:rPr>
                <w:rStyle w:val="-"/>
                <w:noProof/>
                <w:color w:val="auto"/>
              </w:rPr>
              <w:t>1.6</w:t>
            </w:r>
            <w:r w:rsidR="00FF2FF9" w:rsidRPr="005C1827">
              <w:rPr>
                <w:rFonts w:eastAsiaTheme="minorEastAsia"/>
                <w:noProof/>
                <w:sz w:val="22"/>
                <w:lang w:val="en-US"/>
              </w:rPr>
              <w:tab/>
            </w:r>
            <w:r w:rsidR="00FF2FF9" w:rsidRPr="005C1827">
              <w:rPr>
                <w:rStyle w:val="-"/>
                <w:noProof/>
                <w:color w:val="auto"/>
              </w:rPr>
              <w:t>Αξιολόγηση χαρακτηρισμού επενδυτικού σχεδίου ως προς την παρέμβασή του σε σχέση με την επίτευξη των πράσινων και ψηφιακών στόχων, υπολογισμός συνεισφοράς</w:t>
            </w:r>
            <w:r w:rsidR="00FF2FF9" w:rsidRPr="005C1827">
              <w:rPr>
                <w:noProof/>
                <w:webHidden/>
              </w:rPr>
              <w:tab/>
            </w:r>
            <w:r w:rsidR="00FF2FF9" w:rsidRPr="005C1827">
              <w:rPr>
                <w:noProof/>
                <w:webHidden/>
              </w:rPr>
              <w:fldChar w:fldCharType="begin"/>
            </w:r>
            <w:r w:rsidR="00FF2FF9" w:rsidRPr="005C1827">
              <w:rPr>
                <w:noProof/>
                <w:webHidden/>
              </w:rPr>
              <w:instrText xml:space="preserve"> PAGEREF _Toc83050012 \h </w:instrText>
            </w:r>
            <w:r w:rsidR="00FF2FF9" w:rsidRPr="005C1827">
              <w:rPr>
                <w:noProof/>
                <w:webHidden/>
              </w:rPr>
            </w:r>
            <w:r w:rsidR="00FF2FF9" w:rsidRPr="005C1827">
              <w:rPr>
                <w:noProof/>
                <w:webHidden/>
              </w:rPr>
              <w:fldChar w:fldCharType="separate"/>
            </w:r>
            <w:r w:rsidR="00A86378">
              <w:rPr>
                <w:noProof/>
                <w:webHidden/>
              </w:rPr>
              <w:t>9</w:t>
            </w:r>
            <w:r w:rsidR="00FF2FF9" w:rsidRPr="005C1827">
              <w:rPr>
                <w:noProof/>
                <w:webHidden/>
              </w:rPr>
              <w:fldChar w:fldCharType="end"/>
            </w:r>
          </w:hyperlink>
        </w:p>
        <w:p w14:paraId="101194BC" w14:textId="262E8DCE" w:rsidR="00FF2FF9" w:rsidRPr="005C1827" w:rsidRDefault="00653C5D">
          <w:pPr>
            <w:pStyle w:val="20"/>
            <w:rPr>
              <w:rFonts w:eastAsiaTheme="minorEastAsia"/>
              <w:noProof/>
              <w:sz w:val="22"/>
              <w:lang w:val="en-US"/>
            </w:rPr>
          </w:pPr>
          <w:hyperlink w:anchor="_Toc83050013" w:history="1">
            <w:r w:rsidR="00FF2FF9" w:rsidRPr="005C1827">
              <w:rPr>
                <w:rStyle w:val="-"/>
                <w:noProof/>
                <w:color w:val="auto"/>
              </w:rPr>
              <w:t>1.7</w:t>
            </w:r>
            <w:r w:rsidR="00FF2FF9" w:rsidRPr="005C1827">
              <w:rPr>
                <w:rFonts w:eastAsiaTheme="minorEastAsia"/>
                <w:noProof/>
                <w:sz w:val="22"/>
                <w:lang w:val="en-US"/>
              </w:rPr>
              <w:tab/>
            </w:r>
            <w:r w:rsidR="00FF2FF9" w:rsidRPr="005C1827">
              <w:rPr>
                <w:rStyle w:val="-"/>
                <w:noProof/>
                <w:color w:val="auto"/>
              </w:rPr>
              <w:t>Αξιολόγηση συμβατότητας του παρεχόμενου επιτοκίου ως προς τις κρατικές ενισχύσεις</w:t>
            </w:r>
            <w:r w:rsidR="00FF2FF9" w:rsidRPr="005C1827">
              <w:rPr>
                <w:noProof/>
                <w:webHidden/>
              </w:rPr>
              <w:tab/>
            </w:r>
            <w:r w:rsidR="00FF2FF9" w:rsidRPr="005C1827">
              <w:rPr>
                <w:noProof/>
                <w:webHidden/>
              </w:rPr>
              <w:fldChar w:fldCharType="begin"/>
            </w:r>
            <w:r w:rsidR="00FF2FF9" w:rsidRPr="005C1827">
              <w:rPr>
                <w:noProof/>
                <w:webHidden/>
              </w:rPr>
              <w:instrText xml:space="preserve"> PAGEREF _Toc83050013 \h </w:instrText>
            </w:r>
            <w:r w:rsidR="00FF2FF9" w:rsidRPr="005C1827">
              <w:rPr>
                <w:noProof/>
                <w:webHidden/>
              </w:rPr>
            </w:r>
            <w:r w:rsidR="00FF2FF9" w:rsidRPr="005C1827">
              <w:rPr>
                <w:noProof/>
                <w:webHidden/>
              </w:rPr>
              <w:fldChar w:fldCharType="separate"/>
            </w:r>
            <w:r w:rsidR="00A86378">
              <w:rPr>
                <w:noProof/>
                <w:webHidden/>
              </w:rPr>
              <w:t>10</w:t>
            </w:r>
            <w:r w:rsidR="00FF2FF9" w:rsidRPr="005C1827">
              <w:rPr>
                <w:noProof/>
                <w:webHidden/>
              </w:rPr>
              <w:fldChar w:fldCharType="end"/>
            </w:r>
          </w:hyperlink>
        </w:p>
        <w:p w14:paraId="0D839FA8" w14:textId="0309CB02" w:rsidR="00FF2FF9" w:rsidRPr="005C1827" w:rsidRDefault="00653C5D">
          <w:pPr>
            <w:pStyle w:val="20"/>
            <w:rPr>
              <w:rFonts w:eastAsiaTheme="minorEastAsia"/>
              <w:noProof/>
              <w:sz w:val="22"/>
              <w:lang w:val="en-US"/>
            </w:rPr>
          </w:pPr>
          <w:hyperlink w:anchor="_Toc83050014" w:history="1">
            <w:r w:rsidR="00FF2FF9" w:rsidRPr="005C1827">
              <w:rPr>
                <w:rStyle w:val="-"/>
                <w:noProof/>
                <w:color w:val="auto"/>
              </w:rPr>
              <w:t>1.8</w:t>
            </w:r>
            <w:r w:rsidR="00FF2FF9" w:rsidRPr="005C1827">
              <w:rPr>
                <w:rFonts w:eastAsiaTheme="minorEastAsia"/>
                <w:noProof/>
                <w:sz w:val="22"/>
                <w:lang w:val="en-US"/>
              </w:rPr>
              <w:tab/>
            </w:r>
            <w:r w:rsidR="00FF2FF9" w:rsidRPr="005C1827">
              <w:rPr>
                <w:rStyle w:val="-"/>
                <w:noProof/>
                <w:color w:val="auto"/>
              </w:rPr>
              <w:t>Έκθεση Αξιολόγησης πιστοποιημένο ανεξάρτητο ελεγκτή</w:t>
            </w:r>
            <w:r w:rsidR="00FF2FF9" w:rsidRPr="005C1827">
              <w:rPr>
                <w:noProof/>
                <w:webHidden/>
              </w:rPr>
              <w:tab/>
            </w:r>
            <w:r w:rsidR="00FF2FF9" w:rsidRPr="005C1827">
              <w:rPr>
                <w:noProof/>
                <w:webHidden/>
              </w:rPr>
              <w:fldChar w:fldCharType="begin"/>
            </w:r>
            <w:r w:rsidR="00FF2FF9" w:rsidRPr="005C1827">
              <w:rPr>
                <w:noProof/>
                <w:webHidden/>
              </w:rPr>
              <w:instrText xml:space="preserve"> PAGEREF _Toc83050014 \h </w:instrText>
            </w:r>
            <w:r w:rsidR="00FF2FF9" w:rsidRPr="005C1827">
              <w:rPr>
                <w:noProof/>
                <w:webHidden/>
              </w:rPr>
            </w:r>
            <w:r w:rsidR="00FF2FF9" w:rsidRPr="005C1827">
              <w:rPr>
                <w:noProof/>
                <w:webHidden/>
              </w:rPr>
              <w:fldChar w:fldCharType="separate"/>
            </w:r>
            <w:r w:rsidR="00A86378">
              <w:rPr>
                <w:noProof/>
                <w:webHidden/>
              </w:rPr>
              <w:t>12</w:t>
            </w:r>
            <w:r w:rsidR="00FF2FF9" w:rsidRPr="005C1827">
              <w:rPr>
                <w:noProof/>
                <w:webHidden/>
              </w:rPr>
              <w:fldChar w:fldCharType="end"/>
            </w:r>
          </w:hyperlink>
        </w:p>
        <w:p w14:paraId="15D57025" w14:textId="7FB632D7" w:rsidR="008E40B6" w:rsidRPr="005C1827" w:rsidRDefault="008E40B6" w:rsidP="008E40B6">
          <w:pPr>
            <w:spacing w:after="160" w:line="259" w:lineRule="auto"/>
          </w:pPr>
          <w:r w:rsidRPr="005C1827">
            <w:rPr>
              <w:b/>
              <w:bCs/>
              <w:noProof/>
            </w:rPr>
            <w:fldChar w:fldCharType="end"/>
          </w:r>
        </w:p>
      </w:sdtContent>
    </w:sdt>
    <w:p w14:paraId="301236B3" w14:textId="5F13DB35" w:rsidR="00AB0B21" w:rsidRPr="005C1827" w:rsidRDefault="00AB0B21" w:rsidP="00AB0B21">
      <w:pPr>
        <w:rPr>
          <w:rStyle w:val="af3"/>
        </w:rPr>
      </w:pPr>
      <w:r w:rsidRPr="005C1827">
        <w:rPr>
          <w:rStyle w:val="af3"/>
        </w:rPr>
        <w:t>Συντομογραφίες</w:t>
      </w:r>
    </w:p>
    <w:tbl>
      <w:tblPr>
        <w:tblStyle w:val="a7"/>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83"/>
        <w:gridCol w:w="8221"/>
      </w:tblGrid>
      <w:tr w:rsidR="00AB0B21" w:rsidRPr="00AD382C" w14:paraId="68C659D0" w14:textId="77777777" w:rsidTr="007F0630">
        <w:tc>
          <w:tcPr>
            <w:tcW w:w="683" w:type="dxa"/>
          </w:tcPr>
          <w:p w14:paraId="0A407682" w14:textId="77777777" w:rsidR="00AB0B21" w:rsidRPr="005C1827" w:rsidRDefault="00AB0B21" w:rsidP="00AB0B21">
            <w:pPr>
              <w:spacing w:before="0" w:after="0"/>
              <w:rPr>
                <w:sz w:val="20"/>
              </w:rPr>
            </w:pPr>
            <w:r w:rsidRPr="005C1827">
              <w:rPr>
                <w:sz w:val="20"/>
              </w:rPr>
              <w:t>DFRP</w:t>
            </w:r>
          </w:p>
        </w:tc>
        <w:tc>
          <w:tcPr>
            <w:tcW w:w="8221" w:type="dxa"/>
          </w:tcPr>
          <w:p w14:paraId="660F01D6" w14:textId="77777777" w:rsidR="00AB0B21" w:rsidRPr="005C1827" w:rsidRDefault="00AB0B21" w:rsidP="00AB0B21">
            <w:pPr>
              <w:spacing w:before="0" w:after="0"/>
              <w:rPr>
                <w:sz w:val="20"/>
                <w:lang w:val="en-US"/>
              </w:rPr>
            </w:pPr>
            <w:r w:rsidRPr="005C1827">
              <w:rPr>
                <w:sz w:val="20"/>
                <w:lang w:val="en-US"/>
              </w:rPr>
              <w:t>Demand Forecasting and Replenishment Planning</w:t>
            </w:r>
          </w:p>
        </w:tc>
      </w:tr>
      <w:tr w:rsidR="00AB0B21" w:rsidRPr="005C1827" w14:paraId="10201D26" w14:textId="77777777" w:rsidTr="007F0630">
        <w:tc>
          <w:tcPr>
            <w:tcW w:w="683" w:type="dxa"/>
          </w:tcPr>
          <w:p w14:paraId="1C70700F" w14:textId="77777777" w:rsidR="00AB0B21" w:rsidRPr="005C1827" w:rsidRDefault="00AB0B21" w:rsidP="00AB0B21">
            <w:pPr>
              <w:spacing w:before="0" w:after="0"/>
              <w:rPr>
                <w:sz w:val="20"/>
              </w:rPr>
            </w:pPr>
            <w:r w:rsidRPr="005C1827">
              <w:rPr>
                <w:sz w:val="20"/>
              </w:rPr>
              <w:t>DNSH</w:t>
            </w:r>
          </w:p>
        </w:tc>
        <w:tc>
          <w:tcPr>
            <w:tcW w:w="8221" w:type="dxa"/>
          </w:tcPr>
          <w:p w14:paraId="2087ADB8" w14:textId="77777777" w:rsidR="00AB0B21" w:rsidRPr="005C1827" w:rsidRDefault="00AB0B21" w:rsidP="00AB0B21">
            <w:pPr>
              <w:spacing w:before="0" w:after="0"/>
              <w:rPr>
                <w:sz w:val="20"/>
              </w:rPr>
            </w:pPr>
            <w:r w:rsidRPr="005C1827">
              <w:rPr>
                <w:sz w:val="20"/>
              </w:rPr>
              <w:t>Do No Significant Harm</w:t>
            </w:r>
          </w:p>
        </w:tc>
      </w:tr>
      <w:tr w:rsidR="00AB0B21" w:rsidRPr="005C1827" w14:paraId="0836D253" w14:textId="77777777" w:rsidTr="007F0630">
        <w:tc>
          <w:tcPr>
            <w:tcW w:w="683" w:type="dxa"/>
          </w:tcPr>
          <w:p w14:paraId="3B0B0236" w14:textId="77777777" w:rsidR="00AB0B21" w:rsidRPr="005C1827" w:rsidRDefault="00AB0B21" w:rsidP="00AB0B21">
            <w:pPr>
              <w:spacing w:before="0" w:after="0"/>
              <w:rPr>
                <w:sz w:val="20"/>
              </w:rPr>
            </w:pPr>
            <w:r w:rsidRPr="005C1827">
              <w:rPr>
                <w:sz w:val="20"/>
              </w:rPr>
              <w:t>ERP</w:t>
            </w:r>
          </w:p>
        </w:tc>
        <w:tc>
          <w:tcPr>
            <w:tcW w:w="8221" w:type="dxa"/>
          </w:tcPr>
          <w:p w14:paraId="3060AF6E" w14:textId="77777777" w:rsidR="00AB0B21" w:rsidRPr="005C1827" w:rsidRDefault="00AB0B21" w:rsidP="00AB0B21">
            <w:pPr>
              <w:spacing w:before="0" w:after="0"/>
              <w:rPr>
                <w:sz w:val="20"/>
              </w:rPr>
            </w:pPr>
            <w:r w:rsidRPr="005C1827">
              <w:rPr>
                <w:sz w:val="20"/>
              </w:rPr>
              <w:t>Enterprise Resource Planning</w:t>
            </w:r>
          </w:p>
        </w:tc>
      </w:tr>
      <w:tr w:rsidR="00AB0B21" w:rsidRPr="005C1827" w14:paraId="04A8F2C7" w14:textId="77777777" w:rsidTr="007F0630">
        <w:tc>
          <w:tcPr>
            <w:tcW w:w="683" w:type="dxa"/>
          </w:tcPr>
          <w:p w14:paraId="3A2F78F1" w14:textId="77777777" w:rsidR="00AB0B21" w:rsidRPr="005C1827" w:rsidRDefault="00AB0B21" w:rsidP="00AB0B21">
            <w:pPr>
              <w:spacing w:before="0" w:after="0"/>
              <w:rPr>
                <w:sz w:val="20"/>
              </w:rPr>
            </w:pPr>
            <w:r w:rsidRPr="005C1827">
              <w:rPr>
                <w:sz w:val="20"/>
              </w:rPr>
              <w:t>MRP</w:t>
            </w:r>
          </w:p>
        </w:tc>
        <w:tc>
          <w:tcPr>
            <w:tcW w:w="8221" w:type="dxa"/>
          </w:tcPr>
          <w:p w14:paraId="4A3F97A2" w14:textId="77777777" w:rsidR="00AB0B21" w:rsidRPr="005C1827" w:rsidRDefault="00AB0B21" w:rsidP="00AB0B21">
            <w:pPr>
              <w:spacing w:before="0" w:after="0"/>
              <w:rPr>
                <w:sz w:val="20"/>
              </w:rPr>
            </w:pPr>
            <w:r w:rsidRPr="005C1827">
              <w:rPr>
                <w:sz w:val="20"/>
              </w:rPr>
              <w:t>Materials Requirement Planning</w:t>
            </w:r>
          </w:p>
        </w:tc>
      </w:tr>
      <w:tr w:rsidR="00AB0B21" w:rsidRPr="005C1827" w14:paraId="288625EE" w14:textId="77777777" w:rsidTr="007F0630">
        <w:tc>
          <w:tcPr>
            <w:tcW w:w="683" w:type="dxa"/>
          </w:tcPr>
          <w:p w14:paraId="6076765C" w14:textId="77777777" w:rsidR="00AB0B21" w:rsidRPr="005C1827" w:rsidRDefault="00AB0B21" w:rsidP="00AB0B21">
            <w:pPr>
              <w:spacing w:before="0" w:after="0"/>
              <w:rPr>
                <w:sz w:val="20"/>
              </w:rPr>
            </w:pPr>
            <w:r w:rsidRPr="005C1827">
              <w:rPr>
                <w:sz w:val="20"/>
              </w:rPr>
              <w:t>ΑΠΕ</w:t>
            </w:r>
          </w:p>
        </w:tc>
        <w:tc>
          <w:tcPr>
            <w:tcW w:w="8221" w:type="dxa"/>
          </w:tcPr>
          <w:p w14:paraId="3BA79EDC" w14:textId="77777777" w:rsidR="00AB0B21" w:rsidRPr="005C1827" w:rsidRDefault="00AB0B21" w:rsidP="00AB0B21">
            <w:pPr>
              <w:spacing w:before="0" w:after="0"/>
              <w:rPr>
                <w:sz w:val="20"/>
              </w:rPr>
            </w:pPr>
            <w:r w:rsidRPr="005C1827">
              <w:rPr>
                <w:sz w:val="20"/>
              </w:rPr>
              <w:t>Ανανεώσιμες Πηγές Ενέργειας</w:t>
            </w:r>
          </w:p>
        </w:tc>
      </w:tr>
      <w:tr w:rsidR="00AB0B21" w:rsidRPr="005C1827" w14:paraId="05231A27" w14:textId="77777777" w:rsidTr="007F0630">
        <w:tc>
          <w:tcPr>
            <w:tcW w:w="683" w:type="dxa"/>
          </w:tcPr>
          <w:p w14:paraId="3D69E44B" w14:textId="77777777" w:rsidR="00AB0B21" w:rsidRPr="005C1827" w:rsidRDefault="00AB0B21" w:rsidP="00AB0B21">
            <w:pPr>
              <w:spacing w:before="0" w:after="0"/>
              <w:rPr>
                <w:sz w:val="20"/>
              </w:rPr>
            </w:pPr>
            <w:r w:rsidRPr="005C1827">
              <w:rPr>
                <w:sz w:val="20"/>
              </w:rPr>
              <w:t>ΓΑΚ</w:t>
            </w:r>
          </w:p>
        </w:tc>
        <w:tc>
          <w:tcPr>
            <w:tcW w:w="8221" w:type="dxa"/>
          </w:tcPr>
          <w:p w14:paraId="2267DA01" w14:textId="77777777" w:rsidR="00AB0B21" w:rsidRPr="005C1827" w:rsidRDefault="00AB0B21" w:rsidP="00AB0B21">
            <w:pPr>
              <w:spacing w:before="0" w:after="0"/>
              <w:rPr>
                <w:sz w:val="20"/>
              </w:rPr>
            </w:pPr>
            <w:r w:rsidRPr="005C1827">
              <w:rPr>
                <w:sz w:val="20"/>
              </w:rPr>
              <w:t>Γενικός Απαλλακτικός Κανονισμός</w:t>
            </w:r>
          </w:p>
        </w:tc>
      </w:tr>
      <w:tr w:rsidR="00AB0B21" w:rsidRPr="005C1827" w14:paraId="1D414588" w14:textId="77777777" w:rsidTr="007F0630">
        <w:tc>
          <w:tcPr>
            <w:tcW w:w="683" w:type="dxa"/>
          </w:tcPr>
          <w:p w14:paraId="2EAF1014" w14:textId="77777777" w:rsidR="00AB0B21" w:rsidRPr="005C1827" w:rsidRDefault="00AB0B21" w:rsidP="00AB0B21">
            <w:pPr>
              <w:spacing w:before="0" w:after="0"/>
              <w:rPr>
                <w:sz w:val="20"/>
              </w:rPr>
            </w:pPr>
            <w:r w:rsidRPr="005C1827">
              <w:rPr>
                <w:sz w:val="20"/>
              </w:rPr>
              <w:t>ΕΜΕ</w:t>
            </w:r>
          </w:p>
        </w:tc>
        <w:tc>
          <w:tcPr>
            <w:tcW w:w="8221" w:type="dxa"/>
          </w:tcPr>
          <w:p w14:paraId="0D0894CD" w14:textId="77777777" w:rsidR="00AB0B21" w:rsidRPr="005C1827" w:rsidRDefault="00AB0B21" w:rsidP="00AB0B21">
            <w:pPr>
              <w:spacing w:before="0" w:after="0"/>
              <w:rPr>
                <w:sz w:val="20"/>
              </w:rPr>
            </w:pPr>
            <w:r w:rsidRPr="005C1827">
              <w:rPr>
                <w:sz w:val="20"/>
              </w:rPr>
              <w:t>Ετήσια Μονάδα Εργασίας</w:t>
            </w:r>
          </w:p>
        </w:tc>
      </w:tr>
      <w:tr w:rsidR="00AB0B21" w:rsidRPr="005C1827" w14:paraId="750C3DD1" w14:textId="77777777" w:rsidTr="007F0630">
        <w:tc>
          <w:tcPr>
            <w:tcW w:w="683" w:type="dxa"/>
          </w:tcPr>
          <w:p w14:paraId="6C1529B3" w14:textId="77777777" w:rsidR="00AB0B21" w:rsidRPr="005C1827" w:rsidRDefault="00AB0B21" w:rsidP="00AB0B21">
            <w:pPr>
              <w:spacing w:before="0" w:after="0"/>
              <w:rPr>
                <w:sz w:val="20"/>
              </w:rPr>
            </w:pPr>
            <w:r w:rsidRPr="005C1827">
              <w:rPr>
                <w:sz w:val="20"/>
              </w:rPr>
              <w:t>ΕΣ</w:t>
            </w:r>
          </w:p>
        </w:tc>
        <w:tc>
          <w:tcPr>
            <w:tcW w:w="8221" w:type="dxa"/>
          </w:tcPr>
          <w:p w14:paraId="02EDBA2F" w14:textId="77777777" w:rsidR="00AB0B21" w:rsidRPr="005C1827" w:rsidRDefault="00AB0B21" w:rsidP="00AB0B21">
            <w:pPr>
              <w:spacing w:before="0" w:after="0"/>
              <w:rPr>
                <w:sz w:val="20"/>
              </w:rPr>
            </w:pPr>
            <w:r w:rsidRPr="005C1827">
              <w:rPr>
                <w:sz w:val="20"/>
              </w:rPr>
              <w:t>Επενδυτικό Σχέδιο</w:t>
            </w:r>
          </w:p>
        </w:tc>
      </w:tr>
      <w:tr w:rsidR="00AB0B21" w:rsidRPr="005C1827" w14:paraId="097EFBE9" w14:textId="77777777" w:rsidTr="007F0630">
        <w:tc>
          <w:tcPr>
            <w:tcW w:w="683" w:type="dxa"/>
          </w:tcPr>
          <w:p w14:paraId="71AC633A" w14:textId="77777777" w:rsidR="00AB0B21" w:rsidRPr="005C1827" w:rsidRDefault="00AB0B21" w:rsidP="00AB0B21">
            <w:pPr>
              <w:spacing w:before="0" w:after="0"/>
              <w:rPr>
                <w:sz w:val="20"/>
              </w:rPr>
            </w:pPr>
            <w:r w:rsidRPr="005C1827">
              <w:rPr>
                <w:sz w:val="20"/>
              </w:rPr>
              <w:t>ΕΣΑΑ</w:t>
            </w:r>
          </w:p>
        </w:tc>
        <w:tc>
          <w:tcPr>
            <w:tcW w:w="8221" w:type="dxa"/>
          </w:tcPr>
          <w:p w14:paraId="7D6792FD" w14:textId="77777777" w:rsidR="00AB0B21" w:rsidRPr="005C1827" w:rsidRDefault="00AB0B21" w:rsidP="00AB0B21">
            <w:pPr>
              <w:spacing w:before="0" w:after="0"/>
              <w:rPr>
                <w:sz w:val="20"/>
              </w:rPr>
            </w:pPr>
            <w:r w:rsidRPr="005C1827">
              <w:rPr>
                <w:sz w:val="20"/>
              </w:rPr>
              <w:t>Εθνικό Σχέδιο Ανάκαμψης και Ανθεκτικότητας</w:t>
            </w:r>
          </w:p>
        </w:tc>
      </w:tr>
      <w:tr w:rsidR="00AB0B21" w:rsidRPr="005C1827" w14:paraId="098CA726" w14:textId="77777777" w:rsidTr="007F0630">
        <w:tc>
          <w:tcPr>
            <w:tcW w:w="683" w:type="dxa"/>
          </w:tcPr>
          <w:p w14:paraId="6792C0D4" w14:textId="77777777" w:rsidR="00AB0B21" w:rsidRPr="005C1827" w:rsidRDefault="00AB0B21" w:rsidP="00AB0B21">
            <w:pPr>
              <w:spacing w:before="0" w:after="0"/>
              <w:rPr>
                <w:sz w:val="20"/>
              </w:rPr>
            </w:pPr>
            <w:r w:rsidRPr="005C1827">
              <w:rPr>
                <w:sz w:val="20"/>
              </w:rPr>
              <w:t>ΖΑΥ</w:t>
            </w:r>
          </w:p>
        </w:tc>
        <w:tc>
          <w:tcPr>
            <w:tcW w:w="8221" w:type="dxa"/>
          </w:tcPr>
          <w:p w14:paraId="03FC8526" w14:textId="77777777" w:rsidR="00AB0B21" w:rsidRPr="005C1827" w:rsidRDefault="00AB0B21" w:rsidP="00AB0B21">
            <w:pPr>
              <w:spacing w:before="0" w:after="0"/>
              <w:rPr>
                <w:sz w:val="20"/>
              </w:rPr>
            </w:pPr>
            <w:r w:rsidRPr="005C1827">
              <w:rPr>
                <w:sz w:val="20"/>
              </w:rPr>
              <w:t>Ζημία Αθέτησης Υποχρεώσεων</w:t>
            </w:r>
          </w:p>
        </w:tc>
      </w:tr>
      <w:tr w:rsidR="00AB0B21" w:rsidRPr="005C1827" w14:paraId="7775C21F" w14:textId="77777777" w:rsidTr="007F0630">
        <w:tc>
          <w:tcPr>
            <w:tcW w:w="683" w:type="dxa"/>
          </w:tcPr>
          <w:p w14:paraId="73F513F3" w14:textId="77777777" w:rsidR="00AB0B21" w:rsidRPr="005C1827" w:rsidRDefault="00AB0B21" w:rsidP="00AB0B21">
            <w:pPr>
              <w:spacing w:before="0" w:after="0"/>
              <w:rPr>
                <w:sz w:val="20"/>
              </w:rPr>
            </w:pPr>
            <w:r w:rsidRPr="005C1827">
              <w:rPr>
                <w:sz w:val="20"/>
              </w:rPr>
              <w:t>ΚΑΔ</w:t>
            </w:r>
          </w:p>
        </w:tc>
        <w:tc>
          <w:tcPr>
            <w:tcW w:w="8221" w:type="dxa"/>
          </w:tcPr>
          <w:p w14:paraId="1C0B457E" w14:textId="77777777" w:rsidR="00AB0B21" w:rsidRPr="005C1827" w:rsidRDefault="00AB0B21" w:rsidP="00AB0B21">
            <w:pPr>
              <w:spacing w:before="0" w:after="0"/>
              <w:rPr>
                <w:sz w:val="20"/>
              </w:rPr>
            </w:pPr>
            <w:r w:rsidRPr="005C1827">
              <w:rPr>
                <w:sz w:val="20"/>
              </w:rPr>
              <w:t>Κωδικός Αριθμός Δραστηριότητας</w:t>
            </w:r>
          </w:p>
        </w:tc>
      </w:tr>
      <w:tr w:rsidR="00AB0B21" w:rsidRPr="005C1827" w14:paraId="6705C618" w14:textId="77777777" w:rsidTr="007F0630">
        <w:tc>
          <w:tcPr>
            <w:tcW w:w="683" w:type="dxa"/>
          </w:tcPr>
          <w:p w14:paraId="7BA506CF" w14:textId="77777777" w:rsidR="00AB0B21" w:rsidRPr="005C1827" w:rsidRDefault="00AB0B21" w:rsidP="00AB0B21">
            <w:pPr>
              <w:spacing w:before="0" w:after="0"/>
              <w:rPr>
                <w:sz w:val="20"/>
              </w:rPr>
            </w:pPr>
            <w:r w:rsidRPr="005C1827">
              <w:rPr>
                <w:sz w:val="20"/>
              </w:rPr>
              <w:t>ΜΜΕ</w:t>
            </w:r>
          </w:p>
        </w:tc>
        <w:tc>
          <w:tcPr>
            <w:tcW w:w="8221" w:type="dxa"/>
          </w:tcPr>
          <w:p w14:paraId="0503349B" w14:textId="77777777" w:rsidR="00AB0B21" w:rsidRPr="005C1827" w:rsidRDefault="00AB0B21" w:rsidP="00AB0B21">
            <w:pPr>
              <w:spacing w:before="0" w:after="0"/>
              <w:rPr>
                <w:sz w:val="20"/>
              </w:rPr>
            </w:pPr>
            <w:r w:rsidRPr="005C1827">
              <w:rPr>
                <w:sz w:val="20"/>
              </w:rPr>
              <w:t>Μικρές και μεσαίες επιχειρήσεις</w:t>
            </w:r>
          </w:p>
        </w:tc>
      </w:tr>
      <w:tr w:rsidR="00AB0B21" w:rsidRPr="005C1827" w14:paraId="37597CE5" w14:textId="77777777" w:rsidTr="007F0630">
        <w:tc>
          <w:tcPr>
            <w:tcW w:w="683" w:type="dxa"/>
          </w:tcPr>
          <w:p w14:paraId="638D71DD" w14:textId="77777777" w:rsidR="00AB0B21" w:rsidRPr="005C1827" w:rsidRDefault="00AB0B21" w:rsidP="00AB0B21">
            <w:pPr>
              <w:spacing w:before="0" w:after="0"/>
              <w:rPr>
                <w:sz w:val="20"/>
              </w:rPr>
            </w:pPr>
            <w:r w:rsidRPr="005C1827">
              <w:rPr>
                <w:sz w:val="20"/>
              </w:rPr>
              <w:t>ΣΛΕΕ</w:t>
            </w:r>
          </w:p>
        </w:tc>
        <w:tc>
          <w:tcPr>
            <w:tcW w:w="8221" w:type="dxa"/>
          </w:tcPr>
          <w:p w14:paraId="445621BF" w14:textId="77777777" w:rsidR="00AB0B21" w:rsidRPr="005C1827" w:rsidRDefault="00AB0B21" w:rsidP="00AB0B21">
            <w:pPr>
              <w:spacing w:before="0" w:after="0"/>
              <w:rPr>
                <w:sz w:val="20"/>
              </w:rPr>
            </w:pPr>
            <w:r w:rsidRPr="005C1827">
              <w:rPr>
                <w:sz w:val="20"/>
              </w:rPr>
              <w:t xml:space="preserve">Συνθήκη για τη Λειτουργία της Ευρωπαϊκής Ένωσης </w:t>
            </w:r>
          </w:p>
        </w:tc>
      </w:tr>
      <w:tr w:rsidR="00AB0B21" w:rsidRPr="005C1827" w14:paraId="1E9FBCEE" w14:textId="77777777" w:rsidTr="007F0630">
        <w:tc>
          <w:tcPr>
            <w:tcW w:w="683" w:type="dxa"/>
          </w:tcPr>
          <w:p w14:paraId="7F19353B" w14:textId="77777777" w:rsidR="00AB0B21" w:rsidRPr="005C1827" w:rsidRDefault="00AB0B21" w:rsidP="00AB0B21">
            <w:pPr>
              <w:spacing w:before="0" w:after="0"/>
              <w:rPr>
                <w:sz w:val="20"/>
              </w:rPr>
            </w:pPr>
            <w:r w:rsidRPr="005C1827">
              <w:rPr>
                <w:sz w:val="20"/>
              </w:rPr>
              <w:t>ΤΑΑ</w:t>
            </w:r>
          </w:p>
        </w:tc>
        <w:tc>
          <w:tcPr>
            <w:tcW w:w="8221" w:type="dxa"/>
          </w:tcPr>
          <w:p w14:paraId="051C02B0" w14:textId="77777777" w:rsidR="00AB0B21" w:rsidRPr="005C1827" w:rsidRDefault="00AB0B21" w:rsidP="00AB0B21">
            <w:pPr>
              <w:spacing w:before="0" w:after="0"/>
              <w:rPr>
                <w:sz w:val="20"/>
              </w:rPr>
            </w:pPr>
            <w:r w:rsidRPr="005C1827">
              <w:rPr>
                <w:sz w:val="20"/>
              </w:rPr>
              <w:t>Ταμείο Ανάκαμψης και Ανθεκτικότητας</w:t>
            </w:r>
          </w:p>
        </w:tc>
      </w:tr>
      <w:tr w:rsidR="00AB0B21" w:rsidRPr="005C1827" w14:paraId="38902223" w14:textId="77777777" w:rsidTr="007F0630">
        <w:tc>
          <w:tcPr>
            <w:tcW w:w="683" w:type="dxa"/>
          </w:tcPr>
          <w:p w14:paraId="711FC9A1" w14:textId="77777777" w:rsidR="00AB0B21" w:rsidRPr="005C1827" w:rsidRDefault="00AB0B21" w:rsidP="00AB0B21">
            <w:pPr>
              <w:spacing w:before="0" w:after="0"/>
              <w:rPr>
                <w:sz w:val="20"/>
              </w:rPr>
            </w:pPr>
            <w:r w:rsidRPr="005C1827">
              <w:rPr>
                <w:sz w:val="20"/>
              </w:rPr>
              <w:t>ΦΕΚ</w:t>
            </w:r>
          </w:p>
        </w:tc>
        <w:tc>
          <w:tcPr>
            <w:tcW w:w="8221" w:type="dxa"/>
          </w:tcPr>
          <w:p w14:paraId="6B871727" w14:textId="77777777" w:rsidR="00AB0B21" w:rsidRPr="005C1827" w:rsidRDefault="00AB0B21" w:rsidP="00AB0B21">
            <w:pPr>
              <w:spacing w:before="0" w:after="0"/>
              <w:rPr>
                <w:sz w:val="20"/>
              </w:rPr>
            </w:pPr>
            <w:r w:rsidRPr="005C1827">
              <w:rPr>
                <w:sz w:val="20"/>
              </w:rPr>
              <w:t>Φύλλα Εφημερίδας της Κυβέρνησης</w:t>
            </w:r>
          </w:p>
        </w:tc>
      </w:tr>
    </w:tbl>
    <w:p w14:paraId="3235B456" w14:textId="77777777" w:rsidR="00AB0B21" w:rsidRPr="005C1827" w:rsidRDefault="00AB0B21" w:rsidP="00AB0B21">
      <w:pPr>
        <w:rPr>
          <w:rStyle w:val="af3"/>
        </w:rPr>
      </w:pPr>
    </w:p>
    <w:p w14:paraId="066E6C21" w14:textId="4DE1285F" w:rsidR="00843F68" w:rsidRPr="005C1827" w:rsidRDefault="00843F68" w:rsidP="00321F9D">
      <w:pPr>
        <w:pStyle w:val="1"/>
        <w:rPr>
          <w:color w:val="auto"/>
        </w:rPr>
      </w:pPr>
      <w:bookmarkStart w:id="0" w:name="_Toc82090626"/>
      <w:bookmarkStart w:id="1" w:name="_Toc83050006"/>
      <w:r w:rsidRPr="005C1827">
        <w:rPr>
          <w:color w:val="auto"/>
        </w:rPr>
        <w:lastRenderedPageBreak/>
        <w:t>Επιτελική Σύνοψη</w:t>
      </w:r>
      <w:bookmarkEnd w:id="0"/>
      <w:bookmarkEnd w:id="1"/>
    </w:p>
    <w:p w14:paraId="6F83DA07" w14:textId="7E71947A" w:rsidR="00490282" w:rsidRPr="005C1827" w:rsidRDefault="00490282" w:rsidP="00A339E2">
      <w:r w:rsidRPr="005C1827">
        <w:t>Τα δάνεια του Ταμείου Ανάκαμψης και Ανθεκτικότητας (ΤΑΑ) στοχεύουν στη χρηματοδότηση σημαντικών ιδιωτικών επενδύσεων, χρηματοδοτούμεν</w:t>
      </w:r>
      <w:r w:rsidR="15F96E5B" w:rsidRPr="005C1827">
        <w:t>ων</w:t>
      </w:r>
      <w:r w:rsidRPr="005C1827">
        <w:t xml:space="preserve"> κατά τουλάχιστον με 50% από τα ίδια κεφάλαια των επενδυτών και δάνεια προερχόμενα από το εγχώριο χρηματοπιστωτικό σύστημα, ή/και Ευρωπαϊκούς Χρηματοπιστωτικούς Θεσμούς (ΕΤΕπ-Ευρωπαϊκή Τράπεζα Επενδύσεων, ΕΤΑΑ-Ευρωπαϊκή Τράπεζα Ανασυγκρότησης και Ανάπτυξης).</w:t>
      </w:r>
    </w:p>
    <w:p w14:paraId="6F0DD90A" w14:textId="22468206" w:rsidR="003C7F45" w:rsidRPr="005C1827" w:rsidRDefault="00490282" w:rsidP="00A339E2">
      <w:r w:rsidRPr="005C1827">
        <w:t xml:space="preserve">Τα δάνεια του ΤΑΑ </w:t>
      </w:r>
      <w:r w:rsidR="003C7F45" w:rsidRPr="005C1827">
        <w:t>παρέχονται σε ε</w:t>
      </w:r>
      <w:r w:rsidRPr="005C1827">
        <w:t xml:space="preserve">πιχειρηματικές προτάσεις που προωθούν την πράσινη και ψηφιακή μετάβαση, καθώς και την καινοτομία, τις οικονομίες κλίμακος και </w:t>
      </w:r>
      <w:r w:rsidR="003C7F45" w:rsidRPr="005C1827">
        <w:t>τις</w:t>
      </w:r>
      <w:r w:rsidRPr="005C1827">
        <w:t xml:space="preserve"> εξαγωγές. Τα δάνεια </w:t>
      </w:r>
      <w:r w:rsidR="003C7F45" w:rsidRPr="005C1827">
        <w:t>κατευθύνονται</w:t>
      </w:r>
      <w:r w:rsidRPr="005C1827">
        <w:t xml:space="preserve"> σε </w:t>
      </w:r>
      <w:r w:rsidR="00AB2052" w:rsidRPr="005C1827">
        <w:t xml:space="preserve">επενδυτικά σχέδια </w:t>
      </w:r>
      <w:r w:rsidRPr="005C1827">
        <w:t xml:space="preserve">που εμπίπτουν σε πέντε κατηγορίες: α) ψηφιακός μετασχηματισμός, β) πράσινη μετάβαση, γ) εξωστρέφεια, δ) ανάπτυξη οικονομιών κλίμακας μέσω συνεργασιών, εξαγορών και συγχωνεύσεων, ε) καινοτομία – έρευνα &amp; ανάπτυξη. </w:t>
      </w:r>
    </w:p>
    <w:p w14:paraId="4EA06992" w14:textId="688F1B11" w:rsidR="003C7F45" w:rsidRPr="005C1827" w:rsidRDefault="0F7F36CA" w:rsidP="003C7F45">
      <w:r w:rsidRPr="005C1827">
        <w:t xml:space="preserve">Τα δάνεια του ΤΑΑ, </w:t>
      </w:r>
      <w:r w:rsidR="00490282" w:rsidRPr="005C1827">
        <w:t>συ</w:t>
      </w:r>
      <w:r w:rsidRPr="005C1827">
        <w:t>γχρηματοδοτούν</w:t>
      </w:r>
      <w:r w:rsidR="00490282" w:rsidRPr="005C1827">
        <w:t xml:space="preserve"> ιδιωτικές επενδύσεις </w:t>
      </w:r>
      <w:r w:rsidRPr="005C1827">
        <w:t xml:space="preserve">εταιρειών κάθε μεγέθους μαζί </w:t>
      </w:r>
      <w:r w:rsidR="00490282" w:rsidRPr="005C1827">
        <w:t xml:space="preserve">με </w:t>
      </w:r>
      <w:r w:rsidRPr="005C1827">
        <w:t xml:space="preserve">δανειακά </w:t>
      </w:r>
      <w:r w:rsidR="00490282" w:rsidRPr="005C1827">
        <w:t>κεφάλαια</w:t>
      </w:r>
      <w:r w:rsidRPr="005C1827">
        <w:t xml:space="preserve"> των</w:t>
      </w:r>
      <w:r w:rsidR="00490282" w:rsidRPr="005C1827">
        <w:t xml:space="preserve"> </w:t>
      </w:r>
      <w:r w:rsidR="0089179A" w:rsidRPr="005C1827">
        <w:t>τραπεζικών ιδρυμάτων</w:t>
      </w:r>
      <w:r w:rsidR="00201666" w:rsidRPr="005C1827">
        <w:t xml:space="preserve"> που </w:t>
      </w:r>
      <w:r w:rsidR="005059B3" w:rsidRPr="005C1827">
        <w:t>συνεργάζονται με το ΤΑΑ</w:t>
      </w:r>
      <w:r w:rsidR="00490282" w:rsidRPr="005C1827">
        <w:t xml:space="preserve">. </w:t>
      </w:r>
      <w:r w:rsidRPr="005C1827">
        <w:t>Τα δάνεια του ΤΑΑ</w:t>
      </w:r>
      <w:r w:rsidR="00490282" w:rsidRPr="005C1827">
        <w:t xml:space="preserve"> καλύπτ</w:t>
      </w:r>
      <w:r w:rsidRPr="005C1827">
        <w:t>ουν</w:t>
      </w:r>
      <w:r w:rsidR="00490282" w:rsidRPr="005C1827">
        <w:t xml:space="preserve"> κατά μέγιστο βαθμό το 50% του επενδυτικού κόστους</w:t>
      </w:r>
      <w:r w:rsidRPr="005C1827">
        <w:t xml:space="preserve"> κάθε </w:t>
      </w:r>
      <w:r w:rsidR="00227437" w:rsidRPr="005C1827">
        <w:t>επενδυτικού σχεδίου</w:t>
      </w:r>
      <w:r w:rsidR="00490282" w:rsidRPr="005C1827">
        <w:t>, η ιδιωτική συμμετοχή</w:t>
      </w:r>
      <w:r w:rsidR="00227437" w:rsidRPr="005C1827">
        <w:t>, όπως την αποδέχεται το τραπεζικό ίδρυμα,</w:t>
      </w:r>
      <w:r w:rsidR="00490282" w:rsidRPr="005C1827">
        <w:t xml:space="preserve"> </w:t>
      </w:r>
      <w:r w:rsidR="00227437" w:rsidRPr="005C1827">
        <w:t xml:space="preserve">τουλάχιστον κατά 20%, ενώ το τραπεζικό ίδρυμα </w:t>
      </w:r>
      <w:r w:rsidR="00490282" w:rsidRPr="005C1827">
        <w:t xml:space="preserve">θα </w:t>
      </w:r>
      <w:r w:rsidR="00227437" w:rsidRPr="005C1827">
        <w:t>δανειοδοτήσει τουλάχιστον κατά 30%</w:t>
      </w:r>
      <w:r w:rsidR="00490282" w:rsidRPr="005C1827">
        <w:t xml:space="preserve">. </w:t>
      </w:r>
    </w:p>
    <w:p w14:paraId="4CF9E918" w14:textId="593AB159" w:rsidR="00C7217A" w:rsidRPr="005C1827" w:rsidRDefault="00C7217A" w:rsidP="003C7F45">
      <w:r w:rsidRPr="005C1827">
        <w:t xml:space="preserve">Τα δάνεια του ΤΑΑ δύναται να συνδυάζονται με άλλα καθεστώτα κρατικών ενισχύσεων, εφόσον επιτρέπεται ο </w:t>
      </w:r>
      <w:r w:rsidR="00AC6620" w:rsidRPr="005C1827">
        <w:t xml:space="preserve">εν λόγω </w:t>
      </w:r>
      <w:r w:rsidRPr="005C1827">
        <w:t>συνδυασμός από τα καθεστώτα κρατικών</w:t>
      </w:r>
      <w:r w:rsidR="00AC6620" w:rsidRPr="005C1827">
        <w:t xml:space="preserve"> ενισχύσεων και τηρούνται οι κανόνες κρατικών ενισχύσεων περί σώρευσης των ενισχύσεων.</w:t>
      </w:r>
    </w:p>
    <w:p w14:paraId="203CD27B" w14:textId="09EB4FE3" w:rsidR="00490282" w:rsidRPr="005C1827" w:rsidRDefault="004918F4" w:rsidP="003C7F45">
      <w:r w:rsidRPr="005C1827">
        <w:t>Τα τραπεζικά ιδρύματα</w:t>
      </w:r>
      <w:r w:rsidR="00490282" w:rsidRPr="005C1827">
        <w:t xml:space="preserve"> </w:t>
      </w:r>
      <w:r w:rsidR="003C7F45" w:rsidRPr="005C1827">
        <w:t>αξιολογούν</w:t>
      </w:r>
      <w:r w:rsidR="00490282" w:rsidRPr="005C1827">
        <w:t xml:space="preserve"> την αξιοπιστία του εκάστοτε επενδυτή και τη βιωσιμότητα της επένδυσης, χωρίς παρέμβαση του κρατικού μηχανισμού, ενώ πιστοποιημένοι ανεξάρτητοι ελεγκτές αξιολογούν την επιλεξιμότητα των επενδύσεων ως προς τις </w:t>
      </w:r>
      <w:r w:rsidR="003C7F45" w:rsidRPr="005C1827">
        <w:t xml:space="preserve">απαιτήσεις και τις </w:t>
      </w:r>
      <w:r w:rsidR="00490282" w:rsidRPr="005C1827">
        <w:t xml:space="preserve">κατευθυντήριες γραμμές του </w:t>
      </w:r>
      <w:r w:rsidR="00A339E2" w:rsidRPr="005C1827">
        <w:t>Εθνικού Σχεδίου Ανάκαμψης και Ανθεκτικότητας (ΕΣΑΑ)</w:t>
      </w:r>
      <w:r w:rsidR="003C7F45" w:rsidRPr="005C1827">
        <w:t>, καθώς</w:t>
      </w:r>
      <w:r w:rsidR="00490282" w:rsidRPr="005C1827">
        <w:t xml:space="preserve"> και ελέγχουν τη συμμόρφωση με τους κατά περίπτωση κανόνες κρατικών ενισχύσεων (ΓΑΚ, De Minimis, κλπ).</w:t>
      </w:r>
    </w:p>
    <w:p w14:paraId="40ED84C3" w14:textId="200146E6" w:rsidR="0009327C" w:rsidRPr="005C1827" w:rsidRDefault="009D1891" w:rsidP="007A5C37">
      <w:bookmarkStart w:id="2" w:name="_Toc82090627"/>
      <w:bookmarkEnd w:id="2"/>
      <w:r w:rsidRPr="005C1827">
        <w:t xml:space="preserve">Η </w:t>
      </w:r>
      <w:r w:rsidR="007A5C37" w:rsidRPr="005C1827">
        <w:t xml:space="preserve">διαδικασία </w:t>
      </w:r>
      <w:r w:rsidRPr="005C1827">
        <w:t>αξιολόγηση</w:t>
      </w:r>
      <w:r w:rsidR="007A5C37" w:rsidRPr="005C1827">
        <w:t>ς</w:t>
      </w:r>
      <w:r w:rsidRPr="005C1827">
        <w:t xml:space="preserve"> της επιλεξιμότητας των</w:t>
      </w:r>
      <w:r w:rsidR="002C6386" w:rsidRPr="005C1827">
        <w:t xml:space="preserve"> επενδυτικών σχεδίων</w:t>
      </w:r>
      <w:r w:rsidRPr="005C1827">
        <w:t xml:space="preserve"> στο πλαίσιο χρηματοδότησης τους από τα δάνεια </w:t>
      </w:r>
      <w:r w:rsidR="00A339E2" w:rsidRPr="005C1827">
        <w:t xml:space="preserve">του </w:t>
      </w:r>
      <w:r w:rsidR="00CF131B" w:rsidRPr="005C1827">
        <w:t>ΤΑΑ</w:t>
      </w:r>
      <w:r w:rsidR="00DA55B9" w:rsidRPr="005C1827">
        <w:t xml:space="preserve"> </w:t>
      </w:r>
      <w:r w:rsidR="007A5C37" w:rsidRPr="005C1827">
        <w:t>προβλέπεται από τη σχετική Υπουργική Απόφαση (</w:t>
      </w:r>
      <w:r w:rsidR="007A5C37" w:rsidRPr="005C1827">
        <w:rPr>
          <w:highlight w:val="yellow"/>
        </w:rPr>
        <w:t>ΧΧΧ</w:t>
      </w:r>
      <w:r w:rsidR="007A5C37" w:rsidRPr="005C1827">
        <w:t xml:space="preserve">) και διενεργείται </w:t>
      </w:r>
      <w:r w:rsidR="00BC7E49" w:rsidRPr="005C1827">
        <w:t>σε δύο στάδια</w:t>
      </w:r>
      <w:r w:rsidR="0009327C" w:rsidRPr="005C1827">
        <w:t>:</w:t>
      </w:r>
    </w:p>
    <w:p w14:paraId="516AF3DC" w14:textId="349C9539" w:rsidR="00B97D26" w:rsidRPr="005C1827" w:rsidRDefault="00A339E2" w:rsidP="00F23E9E">
      <w:pPr>
        <w:pStyle w:val="a8"/>
        <w:numPr>
          <w:ilvl w:val="0"/>
          <w:numId w:val="42"/>
        </w:numPr>
        <w:spacing w:after="160" w:line="259" w:lineRule="auto"/>
      </w:pPr>
      <w:r w:rsidRPr="005C1827">
        <w:t xml:space="preserve">Από </w:t>
      </w:r>
      <w:r w:rsidR="002C6386" w:rsidRPr="005C1827">
        <w:t xml:space="preserve">το τραπεζικό ίδρυμα </w:t>
      </w:r>
      <w:r w:rsidR="0009327C" w:rsidRPr="005C1827">
        <w:t xml:space="preserve">που υποδέχεται το υπό δανειοδότηση </w:t>
      </w:r>
      <w:r w:rsidR="00F61C6F" w:rsidRPr="005C1827">
        <w:t>επενδυτικό σχέδιο</w:t>
      </w:r>
      <w:r w:rsidR="0009327C" w:rsidRPr="005C1827">
        <w:t xml:space="preserve">, </w:t>
      </w:r>
      <w:r w:rsidR="002C6386" w:rsidRPr="005C1827">
        <w:t>το οποίο</w:t>
      </w:r>
      <w:r w:rsidRPr="005C1827">
        <w:t xml:space="preserve"> </w:t>
      </w:r>
      <w:r w:rsidR="0009327C" w:rsidRPr="005C1827">
        <w:t>αξιολογεί τη δυνατότητα δανειοδότησης του επενδυτικού σχεδίου</w:t>
      </w:r>
      <w:r w:rsidR="00EA765A" w:rsidRPr="005C1827">
        <w:t xml:space="preserve"> σύμφωνα</w:t>
      </w:r>
      <w:r w:rsidR="0009327C" w:rsidRPr="005C1827">
        <w:t xml:space="preserve"> με τραπεζικούς όρους</w:t>
      </w:r>
      <w:r w:rsidR="00B97D26" w:rsidRPr="005C1827">
        <w:t>.</w:t>
      </w:r>
      <w:r w:rsidR="0009327C" w:rsidRPr="005C1827">
        <w:t xml:space="preserve"> </w:t>
      </w:r>
    </w:p>
    <w:p w14:paraId="6E3FA386" w14:textId="19D358EB" w:rsidR="00BC7E49" w:rsidRPr="005C1827" w:rsidRDefault="0009327C" w:rsidP="00F23E9E">
      <w:pPr>
        <w:pStyle w:val="a8"/>
        <w:numPr>
          <w:ilvl w:val="0"/>
          <w:numId w:val="42"/>
        </w:numPr>
        <w:spacing w:after="160" w:line="259" w:lineRule="auto"/>
      </w:pPr>
      <w:r w:rsidRPr="005C1827">
        <w:t>Α</w:t>
      </w:r>
      <w:r w:rsidR="009D1891" w:rsidRPr="005C1827">
        <w:t xml:space="preserve">πό τον </w:t>
      </w:r>
      <w:r w:rsidR="001D2A99" w:rsidRPr="005C1827">
        <w:t>πιστοποιημένο ανεξάρτητο ελεγκτή</w:t>
      </w:r>
      <w:r w:rsidR="009D1891" w:rsidRPr="005C1827">
        <w:t>, ο οποίος αξιολογεί τα παρακάτω</w:t>
      </w:r>
      <w:r w:rsidR="00EA765A" w:rsidRPr="005C1827">
        <w:t>,</w:t>
      </w:r>
      <w:r w:rsidR="00B97D26" w:rsidRPr="005C1827">
        <w:t xml:space="preserve"> κατόπιν της </w:t>
      </w:r>
      <w:r w:rsidR="00490282" w:rsidRPr="005C1827">
        <w:t xml:space="preserve">προέγκριση της δανειοδότησης του επενδυτικού σχεδίου </w:t>
      </w:r>
      <w:r w:rsidR="00B97D26" w:rsidRPr="005C1827">
        <w:t xml:space="preserve">από τη δανειοδοτούσα </w:t>
      </w:r>
      <w:r w:rsidR="00A339E2" w:rsidRPr="005C1827">
        <w:t>ΕΤ</w:t>
      </w:r>
      <w:r w:rsidR="00BC7E49" w:rsidRPr="005C1827">
        <w:t>.</w:t>
      </w:r>
    </w:p>
    <w:p w14:paraId="1A714C56" w14:textId="5AB73FA8" w:rsidR="00BC7E49" w:rsidRPr="005C1827" w:rsidRDefault="00BC7E49" w:rsidP="00BC7E49">
      <w:pPr>
        <w:spacing w:after="160" w:line="259" w:lineRule="auto"/>
      </w:pPr>
      <w:r w:rsidRPr="005C1827">
        <w:t xml:space="preserve">Η αξιολόγηση </w:t>
      </w:r>
      <w:r w:rsidR="00AB0B21" w:rsidRPr="005C1827">
        <w:t xml:space="preserve">του </w:t>
      </w:r>
      <w:r w:rsidR="001D2A99" w:rsidRPr="005C1827">
        <w:t>πιστοποιημένου ανεξάρτητου ελεγκτή</w:t>
      </w:r>
      <w:r w:rsidRPr="005C1827">
        <w:t xml:space="preserve"> περιλαμβάνει:</w:t>
      </w:r>
    </w:p>
    <w:p w14:paraId="09CB58F6" w14:textId="55FF1E1C" w:rsidR="00F91314" w:rsidRPr="005C1827" w:rsidRDefault="00AB0B21" w:rsidP="0086101C">
      <w:pPr>
        <w:pStyle w:val="a8"/>
        <w:numPr>
          <w:ilvl w:val="0"/>
          <w:numId w:val="1"/>
        </w:numPr>
        <w:rPr>
          <w:rFonts w:asciiTheme="minorHAnsi" w:hAnsiTheme="minorHAnsi" w:cstheme="minorBidi"/>
          <w:szCs w:val="22"/>
        </w:rPr>
      </w:pPr>
      <w:r w:rsidRPr="005C1827">
        <w:t xml:space="preserve">Την αξιολόγηση </w:t>
      </w:r>
      <w:r w:rsidR="00B459BE" w:rsidRPr="005C1827">
        <w:t xml:space="preserve">ύπαρξης επιλέξιμου </w:t>
      </w:r>
      <w:r w:rsidR="001D2A99" w:rsidRPr="005C1827">
        <w:t>επενδυτικού σχεδίου</w:t>
      </w:r>
      <w:r w:rsidR="00F91314" w:rsidRPr="005C1827">
        <w:rPr>
          <w:rFonts w:asciiTheme="minorHAnsi" w:hAnsiTheme="minorHAnsi" w:cstheme="minorBidi"/>
          <w:szCs w:val="22"/>
        </w:rPr>
        <w:t>.</w:t>
      </w:r>
    </w:p>
    <w:p w14:paraId="006CC9AD" w14:textId="586AC7B6" w:rsidR="0009327C" w:rsidRPr="005C1827" w:rsidRDefault="00206C3F" w:rsidP="0086101C">
      <w:pPr>
        <w:numPr>
          <w:ilvl w:val="0"/>
          <w:numId w:val="1"/>
        </w:numPr>
        <w:spacing w:before="0" w:after="160" w:line="259" w:lineRule="auto"/>
      </w:pPr>
      <w:r w:rsidRPr="005C1827">
        <w:t xml:space="preserve">Την </w:t>
      </w:r>
      <w:r w:rsidR="00AB0B21" w:rsidRPr="005C1827">
        <w:t xml:space="preserve">αξιολόγηση </w:t>
      </w:r>
      <w:r w:rsidR="00A339E2" w:rsidRPr="005C1827">
        <w:t xml:space="preserve">της </w:t>
      </w:r>
      <w:r w:rsidR="00BB010A" w:rsidRPr="005C1827">
        <w:t>επιλεξιμότητα</w:t>
      </w:r>
      <w:r w:rsidR="00AB0B21" w:rsidRPr="005C1827">
        <w:t>ς</w:t>
      </w:r>
      <w:r w:rsidR="0009327C" w:rsidRPr="005C1827">
        <w:t xml:space="preserve"> του </w:t>
      </w:r>
      <w:r w:rsidR="0057094F" w:rsidRPr="005C1827">
        <w:t>επενδυτικού σχεδίου</w:t>
      </w:r>
      <w:r w:rsidR="0009327C" w:rsidRPr="005C1827">
        <w:t xml:space="preserve"> με την Αρχή μη πρόκλησης σημαντικής βλάβης (Do No Significant Harm principle - DNSH)</w:t>
      </w:r>
      <w:r w:rsidR="00AB0B21" w:rsidRPr="005C1827">
        <w:t>.</w:t>
      </w:r>
    </w:p>
    <w:p w14:paraId="39370F4C" w14:textId="6D9B0E3E" w:rsidR="009D1891" w:rsidRPr="005C1827" w:rsidRDefault="009D1891" w:rsidP="0086101C">
      <w:pPr>
        <w:numPr>
          <w:ilvl w:val="0"/>
          <w:numId w:val="1"/>
        </w:numPr>
        <w:spacing w:before="0" w:line="259" w:lineRule="auto"/>
      </w:pPr>
      <w:r w:rsidRPr="005C1827">
        <w:t xml:space="preserve">Την </w:t>
      </w:r>
      <w:r w:rsidR="00490282" w:rsidRPr="005C1827">
        <w:t xml:space="preserve">αξιολόγηση </w:t>
      </w:r>
      <w:r w:rsidR="00A339E2" w:rsidRPr="005C1827">
        <w:t xml:space="preserve">της </w:t>
      </w:r>
      <w:r w:rsidRPr="005C1827">
        <w:t>επιλεξιμότητα</w:t>
      </w:r>
      <w:r w:rsidR="00490282" w:rsidRPr="005C1827">
        <w:t>ς</w:t>
      </w:r>
      <w:r w:rsidRPr="005C1827">
        <w:t xml:space="preserve"> του </w:t>
      </w:r>
      <w:r w:rsidR="0057094F" w:rsidRPr="005C1827">
        <w:t>επενδυτικού σχεδίου</w:t>
      </w:r>
      <w:r w:rsidRPr="005C1827">
        <w:t xml:space="preserve"> ως προς τους επενδυτικούς στόχους του δανειακού προγράμματος του </w:t>
      </w:r>
      <w:r w:rsidR="00A339E2" w:rsidRPr="005C1827">
        <w:t>ΤΑΑ</w:t>
      </w:r>
      <w:r w:rsidR="00490282" w:rsidRPr="005C1827">
        <w:t>, καθώς και τον υπολογ</w:t>
      </w:r>
      <w:r w:rsidR="00B142FC" w:rsidRPr="005C1827">
        <w:t xml:space="preserve">ισμό της ποσόστωσης του δανείου </w:t>
      </w:r>
      <w:r w:rsidR="00490282" w:rsidRPr="005C1827">
        <w:t>ΤΑΑ επι του προϋπολογισμού του ΕΣ</w:t>
      </w:r>
      <w:r w:rsidR="00A339E2" w:rsidRPr="005C1827">
        <w:t>. Οι επενδυτικοί στόχοι είναι</w:t>
      </w:r>
      <w:r w:rsidR="0021319E" w:rsidRPr="005C1827">
        <w:t>:</w:t>
      </w:r>
    </w:p>
    <w:p w14:paraId="1052B4CC" w14:textId="77C304C5" w:rsidR="009D1891" w:rsidRPr="005C1827" w:rsidRDefault="009D1891" w:rsidP="0086101C">
      <w:pPr>
        <w:numPr>
          <w:ilvl w:val="0"/>
          <w:numId w:val="2"/>
        </w:numPr>
        <w:spacing w:before="0" w:line="259" w:lineRule="auto"/>
      </w:pPr>
      <w:r w:rsidRPr="005C1827">
        <w:t>πράσινη μετάβαση</w:t>
      </w:r>
      <w:r w:rsidR="00171002" w:rsidRPr="005C1827">
        <w:t>,</w:t>
      </w:r>
    </w:p>
    <w:p w14:paraId="4FEEB5F3" w14:textId="6A67BED2" w:rsidR="009D1891" w:rsidRPr="005C1827" w:rsidRDefault="009D1891" w:rsidP="0086101C">
      <w:pPr>
        <w:numPr>
          <w:ilvl w:val="0"/>
          <w:numId w:val="2"/>
        </w:numPr>
        <w:spacing w:before="0" w:line="259" w:lineRule="auto"/>
      </w:pPr>
      <w:r w:rsidRPr="005C1827">
        <w:t>ψηφιακός μετασχηματισμός</w:t>
      </w:r>
      <w:r w:rsidR="00171002" w:rsidRPr="005C1827">
        <w:t>,</w:t>
      </w:r>
    </w:p>
    <w:p w14:paraId="13C6FBD4" w14:textId="63313C19" w:rsidR="009D1891" w:rsidRPr="005C1827" w:rsidRDefault="009D1891" w:rsidP="0086101C">
      <w:pPr>
        <w:numPr>
          <w:ilvl w:val="0"/>
          <w:numId w:val="2"/>
        </w:numPr>
        <w:spacing w:before="0" w:line="259" w:lineRule="auto"/>
      </w:pPr>
      <w:r w:rsidRPr="005C1827">
        <w:t>καινοτομία – έρευνα &amp; ανάπτυξη</w:t>
      </w:r>
      <w:r w:rsidR="00171002" w:rsidRPr="005C1827">
        <w:t>,</w:t>
      </w:r>
    </w:p>
    <w:p w14:paraId="53B7B19B" w14:textId="46421FBD" w:rsidR="009D1891" w:rsidRPr="005C1827" w:rsidRDefault="0032710A" w:rsidP="0086101C">
      <w:pPr>
        <w:numPr>
          <w:ilvl w:val="0"/>
          <w:numId w:val="2"/>
        </w:numPr>
        <w:spacing w:before="0" w:line="259" w:lineRule="auto"/>
        <w:rPr>
          <w:rFonts w:eastAsiaTheme="minorEastAsia"/>
        </w:rPr>
      </w:pPr>
      <w:r w:rsidRPr="005C1827">
        <w:lastRenderedPageBreak/>
        <w:t>ανάπτυξη</w:t>
      </w:r>
      <w:r w:rsidR="008150D9" w:rsidRPr="005C1827">
        <w:t xml:space="preserve"> οικονομιών κλίμακας μέσω συνεργασιών, εξαγορών και συγχωνεύσεων</w:t>
      </w:r>
      <w:r w:rsidR="0021319E" w:rsidRPr="005C1827">
        <w:t>,</w:t>
      </w:r>
    </w:p>
    <w:p w14:paraId="49256CFC" w14:textId="781A827E" w:rsidR="009D1891" w:rsidRPr="005C1827" w:rsidRDefault="009D1891" w:rsidP="0086101C">
      <w:pPr>
        <w:numPr>
          <w:ilvl w:val="0"/>
          <w:numId w:val="2"/>
        </w:numPr>
        <w:spacing w:before="0" w:after="160" w:line="259" w:lineRule="auto"/>
      </w:pPr>
      <w:r w:rsidRPr="005C1827">
        <w:t>εξωστρέφεια.</w:t>
      </w:r>
    </w:p>
    <w:p w14:paraId="3BD2EC0B" w14:textId="5E946FDE" w:rsidR="009D1891" w:rsidRPr="005C1827" w:rsidRDefault="009D1891" w:rsidP="0086101C">
      <w:pPr>
        <w:numPr>
          <w:ilvl w:val="0"/>
          <w:numId w:val="1"/>
        </w:numPr>
        <w:spacing w:before="0" w:after="160" w:line="259" w:lineRule="auto"/>
      </w:pPr>
      <w:r w:rsidRPr="005C1827">
        <w:t xml:space="preserve">Τον χαρακτηρισμό του </w:t>
      </w:r>
      <w:r w:rsidR="00F61C6F" w:rsidRPr="005C1827">
        <w:t xml:space="preserve">επενδυτικού σχεδίου </w:t>
      </w:r>
      <w:r w:rsidR="003F1856" w:rsidRPr="005C1827">
        <w:t>ως προς την παρέμβασή</w:t>
      </w:r>
      <w:r w:rsidRPr="005C1827">
        <w:t xml:space="preserve"> του σε σχέση με την επίτευξη των στόχων για την κλιματική</w:t>
      </w:r>
      <w:r w:rsidR="00D85657" w:rsidRPr="005C1827">
        <w:t xml:space="preserve"> αλλαγή και των περιβαλλοντικών </w:t>
      </w:r>
      <w:r w:rsidRPr="005C1827">
        <w:t>στόχων, καθώς και την παρέμβαση του για τη στήριξη για τη ψηφιακή μετάβαση. Τον υπολογισμό της συνεισφοράς του προϋπολ</w:t>
      </w:r>
      <w:r w:rsidR="00D85657" w:rsidRPr="005C1827">
        <w:t xml:space="preserve">ογισμού του επενδυτικού σχεδίου </w:t>
      </w:r>
      <w:r w:rsidRPr="005C1827">
        <w:t>στους πράσινους και ψηφιακούς στόχους (Green and Digital Tagged investment budget</w:t>
      </w:r>
      <w:r w:rsidR="0021319E" w:rsidRPr="005C1827">
        <w:t>).</w:t>
      </w:r>
    </w:p>
    <w:p w14:paraId="7E98127D" w14:textId="224ADB4E" w:rsidR="00AB0B21" w:rsidRPr="005C1827" w:rsidRDefault="00490282" w:rsidP="0086101C">
      <w:pPr>
        <w:pStyle w:val="a8"/>
        <w:numPr>
          <w:ilvl w:val="0"/>
          <w:numId w:val="1"/>
        </w:numPr>
      </w:pPr>
      <w:r w:rsidRPr="005C1827">
        <w:t>Την α</w:t>
      </w:r>
      <w:r w:rsidR="00AB0B21" w:rsidRPr="005C1827">
        <w:t>ξιολόγηση συμβατότητας του παρεχόμενου επιτοκίου ως προς τις κρατικές ενισχύσεις, στην περίπτωση όπου το ζητούμενο επιτόκιο του δανείου του ΤΑΑ είναι χαμηλότερο του επιτοκίου αναφοράς, ως προς τον κανονισμό De Minimis 1407/2013 και τον Γενικό Απαλλακτικό Κανονισμό 651/2014.</w:t>
      </w:r>
    </w:p>
    <w:p w14:paraId="498EBF25" w14:textId="3B89638C" w:rsidR="00104BEB" w:rsidRPr="005C1827" w:rsidRDefault="00104BEB" w:rsidP="007F0630">
      <w:r w:rsidRPr="005C1827">
        <w:t xml:space="preserve">Η αξιολόγηση από τον </w:t>
      </w:r>
      <w:r w:rsidR="00227437" w:rsidRPr="005C1827">
        <w:t>πιστοποιημένο</w:t>
      </w:r>
      <w:r w:rsidRPr="005C1827">
        <w:t xml:space="preserve"> ανεξάρτητο ελεγκτή παρουσιάζεται </w:t>
      </w:r>
      <w:r w:rsidR="00227437" w:rsidRPr="005C1827">
        <w:t>σχηματικά</w:t>
      </w:r>
      <w:r w:rsidRPr="005C1827">
        <w:t xml:space="preserve"> στο παρακάτω διάγραμμα.</w:t>
      </w:r>
    </w:p>
    <w:p w14:paraId="20DACF17" w14:textId="77777777" w:rsidR="00104BEB" w:rsidRPr="005C1827" w:rsidRDefault="00104BEB" w:rsidP="00104BEB">
      <w:r w:rsidRPr="005C1827">
        <w:rPr>
          <w:noProof/>
          <w:lang w:val="en-US"/>
        </w:rPr>
        <mc:AlternateContent>
          <mc:Choice Requires="wps">
            <w:drawing>
              <wp:anchor distT="0" distB="0" distL="114300" distR="114300" simplePos="0" relativeHeight="251658241" behindDoc="0" locked="0" layoutInCell="1" allowOverlap="1" wp14:anchorId="05477382" wp14:editId="21270703">
                <wp:simplePos x="0" y="0"/>
                <wp:positionH relativeFrom="margin">
                  <wp:posOffset>5242560</wp:posOffset>
                </wp:positionH>
                <wp:positionV relativeFrom="paragraph">
                  <wp:posOffset>302260</wp:posOffset>
                </wp:positionV>
                <wp:extent cx="944880" cy="1394460"/>
                <wp:effectExtent l="0" t="0" r="26670" b="15240"/>
                <wp:wrapNone/>
                <wp:docPr id="1" name="Flowchart: Document 1"/>
                <wp:cNvGraphicFramePr/>
                <a:graphic xmlns:a="http://schemas.openxmlformats.org/drawingml/2006/main">
                  <a:graphicData uri="http://schemas.microsoft.com/office/word/2010/wordprocessingShape">
                    <wps:wsp>
                      <wps:cNvSpPr/>
                      <wps:spPr>
                        <a:xfrm>
                          <a:off x="0" y="0"/>
                          <a:ext cx="944880" cy="1394460"/>
                        </a:xfrm>
                        <a:prstGeom prst="flowChartDocumen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D327289" w14:textId="77777777" w:rsidR="00875EF2" w:rsidRPr="00503435" w:rsidRDefault="00875EF2" w:rsidP="00104BEB">
                            <w:pPr>
                              <w:jc w:val="center"/>
                              <w:rPr>
                                <w:b/>
                                <w:sz w:val="18"/>
                              </w:rPr>
                            </w:pPr>
                            <w:r>
                              <w:rPr>
                                <w:b/>
                                <w:sz w:val="18"/>
                              </w:rPr>
                              <w:t>Αξιολόγηση προέγκρισης δανείου ΤΑΑ και έκθεση</w:t>
                            </w:r>
                            <w:r w:rsidRPr="00503435">
                              <w:rPr>
                                <w:b/>
                                <w:sz w:val="18"/>
                              </w:rPr>
                              <w:t xml:space="preserve"> επιλεξιμότητας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477382"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1" o:spid="_x0000_s1026" type="#_x0000_t114" style="position:absolute;margin-left:412.8pt;margin-top:23.8pt;width:74.4pt;height:109.8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" fillcolor="#4472c4 [3204]" strokecolor="#1f3763 [1604]" strokeweight="1pt">
                <v:textbox>
                  <w:txbxContent>
                    <w:p w14:paraId="1D327289" w14:textId="77777777" w:rsidR="00875EF2" w:rsidRPr="00503435" w:rsidRDefault="00875EF2" w:rsidP="00104BEB">
                      <w:pPr>
                        <w:jc w:val="center"/>
                        <w:rPr>
                          <w:b/>
                          <w:sz w:val="18"/>
                        </w:rPr>
                      </w:pPr>
                      <w:r>
                        <w:rPr>
                          <w:b/>
                          <w:sz w:val="18"/>
                        </w:rPr>
                        <w:t>Αξιολόγηση προέγκρισης δανείου ΤΑΑ και έκθεση</w:t>
                      </w:r>
                      <w:r w:rsidRPr="00503435">
                        <w:rPr>
                          <w:b/>
                          <w:sz w:val="18"/>
                        </w:rPr>
                        <w:t xml:space="preserve"> επιλεξιμότητας</w:t>
                      </w:r>
                    </w:p>
                  </w:txbxContent>
                </v:textbox>
                <w10:wrap anchorx="margin"/>
              </v:shape>
            </w:pict>
          </mc:Fallback>
        </mc:AlternateContent>
      </w:r>
      <w:r w:rsidRPr="005C1827">
        <w:rPr>
          <w:noProof/>
          <w:lang w:val="en-US"/>
        </w:rPr>
        <w:drawing>
          <wp:inline distT="0" distB="0" distL="0" distR="0" wp14:anchorId="7144CE2F" wp14:editId="77A6E7F1">
            <wp:extent cx="5265420" cy="2960914"/>
            <wp:effectExtent l="0" t="19050" r="0" b="1143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711931F4" w14:textId="7FE99165" w:rsidR="00AB0B21" w:rsidRPr="005C1827" w:rsidRDefault="00AB0B21" w:rsidP="007F0630">
      <w:r w:rsidRPr="005C1827">
        <w:t xml:space="preserve">Τα παραπάνω σημεία ελέγχονται και αξιολογούνται από </w:t>
      </w:r>
      <w:r w:rsidR="001D2A99" w:rsidRPr="005C1827">
        <w:t>πιστοποιημένο</w:t>
      </w:r>
      <w:r w:rsidR="00F17A53" w:rsidRPr="005C1827">
        <w:t>υς</w:t>
      </w:r>
      <w:r w:rsidR="001D2A99" w:rsidRPr="005C1827">
        <w:t xml:space="preserve"> ανεξάρτητο</w:t>
      </w:r>
      <w:r w:rsidR="00F17A53" w:rsidRPr="005C1827">
        <w:t>υς ελεγκτές</w:t>
      </w:r>
      <w:r w:rsidRPr="005C1827">
        <w:t xml:space="preserve">, </w:t>
      </w:r>
      <w:r w:rsidR="00EA765A" w:rsidRPr="005C1827">
        <w:t xml:space="preserve">οι οποίοι είναι </w:t>
      </w:r>
      <w:r w:rsidR="00B459BE" w:rsidRPr="005C1827">
        <w:t>εγγεγραμμένοι</w:t>
      </w:r>
      <w:r w:rsidR="00EA765A" w:rsidRPr="005C1827">
        <w:t xml:space="preserve"> στο Μητρώο Πιστοποιημένων Ανεξάρτητων Ελεγκτών του </w:t>
      </w:r>
      <w:r w:rsidRPr="005C1827">
        <w:t>Υπουργείο</w:t>
      </w:r>
      <w:r w:rsidR="00B459BE" w:rsidRPr="005C1827">
        <w:t>υ</w:t>
      </w:r>
      <w:r w:rsidRPr="005C1827">
        <w:t xml:space="preserve"> Οικονομικών. </w:t>
      </w:r>
      <w:r w:rsidR="00B459BE" w:rsidRPr="005C1827">
        <w:t xml:space="preserve">Κάθε </w:t>
      </w:r>
      <w:r w:rsidR="001D2A99" w:rsidRPr="005C1827">
        <w:t>πιστοποιημένο</w:t>
      </w:r>
      <w:r w:rsidR="00F17A53" w:rsidRPr="005C1827">
        <w:t>ς</w:t>
      </w:r>
      <w:r w:rsidR="001D2A99" w:rsidRPr="005C1827">
        <w:t xml:space="preserve"> ανεξάρτητο</w:t>
      </w:r>
      <w:r w:rsidR="00F17A53" w:rsidRPr="005C1827">
        <w:t>ς</w:t>
      </w:r>
      <w:r w:rsidR="001D2A99" w:rsidRPr="005C1827">
        <w:t xml:space="preserve"> ελεγκτή</w:t>
      </w:r>
      <w:r w:rsidR="00F17A53" w:rsidRPr="005C1827">
        <w:t>ς</w:t>
      </w:r>
      <w:r w:rsidRPr="005C1827">
        <w:t xml:space="preserve"> </w:t>
      </w:r>
      <w:r w:rsidR="00B459BE" w:rsidRPr="005C1827">
        <w:t xml:space="preserve">που θα αναλαμβάνει την αξιολόγηση ενός </w:t>
      </w:r>
      <w:r w:rsidR="00F17A53" w:rsidRPr="005C1827">
        <w:t>επενδυτικού σχεδίου</w:t>
      </w:r>
      <w:r w:rsidR="00B459BE" w:rsidRPr="005C1827">
        <w:t xml:space="preserve"> </w:t>
      </w:r>
      <w:r w:rsidRPr="005C1827">
        <w:t>θα ορίζ</w:t>
      </w:r>
      <w:r w:rsidR="00B459BE" w:rsidRPr="005C1827">
        <w:t>εται</w:t>
      </w:r>
      <w:r w:rsidRPr="005C1827">
        <w:t xml:space="preserve"> από το </w:t>
      </w:r>
      <w:r w:rsidR="00B459BE" w:rsidRPr="005C1827">
        <w:t>Υ</w:t>
      </w:r>
      <w:r w:rsidR="00481550" w:rsidRPr="005C1827">
        <w:t>πουργεί</w:t>
      </w:r>
      <w:r w:rsidR="00B459BE" w:rsidRPr="005C1827">
        <w:t>ο Ο</w:t>
      </w:r>
      <w:r w:rsidR="00481550" w:rsidRPr="005C1827">
        <w:t xml:space="preserve">ικονομικών </w:t>
      </w:r>
      <w:r w:rsidR="00B459BE" w:rsidRPr="005C1827">
        <w:t xml:space="preserve">σύμφωνα με αλγόριθμο </w:t>
      </w:r>
      <w:r w:rsidRPr="005C1827">
        <w:t xml:space="preserve">και εφόσον </w:t>
      </w:r>
      <w:r w:rsidR="00B459BE" w:rsidRPr="005C1827">
        <w:t xml:space="preserve">ο </w:t>
      </w:r>
      <w:r w:rsidR="001D2A99" w:rsidRPr="005C1827">
        <w:t>πιστοποιημένο</w:t>
      </w:r>
      <w:r w:rsidR="001C3139" w:rsidRPr="005C1827">
        <w:t>ς ανε</w:t>
      </w:r>
      <w:r w:rsidR="001D2A99" w:rsidRPr="005C1827">
        <w:t>ξάρτητο</w:t>
      </w:r>
      <w:r w:rsidR="001C3139" w:rsidRPr="005C1827">
        <w:t>ς</w:t>
      </w:r>
      <w:r w:rsidR="001D2A99" w:rsidRPr="005C1827">
        <w:t xml:space="preserve"> ελεγκτή</w:t>
      </w:r>
      <w:r w:rsidR="001C3139" w:rsidRPr="005C1827">
        <w:t>ς</w:t>
      </w:r>
      <w:r w:rsidR="00B459BE" w:rsidRPr="005C1827">
        <w:t xml:space="preserve"> εξασφαλίζει ότι </w:t>
      </w:r>
      <w:r w:rsidRPr="005C1827">
        <w:t xml:space="preserve">δεν </w:t>
      </w:r>
      <w:r w:rsidR="00B459BE" w:rsidRPr="005C1827">
        <w:t xml:space="preserve">υφίσταται </w:t>
      </w:r>
      <w:r w:rsidRPr="005C1827">
        <w:t>σύγκρουση συμφερόντων</w:t>
      </w:r>
      <w:r w:rsidR="00481550" w:rsidRPr="005C1827">
        <w:t xml:space="preserve"> με </w:t>
      </w:r>
      <w:r w:rsidR="002C6386" w:rsidRPr="005C1827">
        <w:t xml:space="preserve">το τραπεζικό ίδρυμα </w:t>
      </w:r>
      <w:r w:rsidR="00481550" w:rsidRPr="005C1827">
        <w:t>και τον επενδυτή,</w:t>
      </w:r>
      <w:r w:rsidRPr="005C1827">
        <w:t xml:space="preserve"> θα</w:t>
      </w:r>
      <w:r w:rsidR="00B459BE" w:rsidRPr="005C1827">
        <w:t xml:space="preserve"> αναλαμβάνει και θα διενεργεί </w:t>
      </w:r>
      <w:r w:rsidRPr="005C1827">
        <w:t>την αξιολόγηση.</w:t>
      </w:r>
    </w:p>
    <w:p w14:paraId="31272138" w14:textId="738A9406" w:rsidR="00CA4603" w:rsidRPr="005C1827" w:rsidRDefault="00CA4603" w:rsidP="00CA4603">
      <w:r w:rsidRPr="005C1827">
        <w:t xml:space="preserve">Ο </w:t>
      </w:r>
      <w:r w:rsidR="001D2A99" w:rsidRPr="005C1827">
        <w:t>πιστοποιημένο</w:t>
      </w:r>
      <w:r w:rsidR="00FF5939" w:rsidRPr="005C1827">
        <w:t>ς</w:t>
      </w:r>
      <w:r w:rsidR="001D2A99" w:rsidRPr="005C1827">
        <w:t xml:space="preserve"> ανεξάρτητο</w:t>
      </w:r>
      <w:r w:rsidR="00FF5939" w:rsidRPr="005C1827">
        <w:t>ς</w:t>
      </w:r>
      <w:r w:rsidR="001D2A99" w:rsidRPr="005C1827">
        <w:t xml:space="preserve"> ελεγκτή</w:t>
      </w:r>
      <w:r w:rsidR="00FF5939" w:rsidRPr="005C1827">
        <w:t>ς</w:t>
      </w:r>
      <w:r w:rsidRPr="005C1827">
        <w:t xml:space="preserve"> με βάση την αξιολόγηση που διενεργεί, συντάσσει έκθεση αξιολόγησης η οποία υποβάλλεται σ</w:t>
      </w:r>
      <w:r w:rsidR="002C6386" w:rsidRPr="005C1827">
        <w:t xml:space="preserve">το τραπεζικό ίδρυμα </w:t>
      </w:r>
      <w:r w:rsidRPr="005C1827">
        <w:t>και στο ΤΑΑ.</w:t>
      </w:r>
    </w:p>
    <w:p w14:paraId="45197FEB" w14:textId="2012EA43" w:rsidR="00B459BE" w:rsidRPr="005C1827" w:rsidRDefault="00B459BE" w:rsidP="007F0630">
      <w:r w:rsidRPr="005C1827">
        <w:t xml:space="preserve">Στην παρακάτω σύνοψη παρουσιάζεται η μέθοδος αξιολόγησης των </w:t>
      </w:r>
      <w:r w:rsidR="00F61C6F" w:rsidRPr="005C1827">
        <w:t xml:space="preserve">επενδυτικών σχεδίων </w:t>
      </w:r>
      <w:r w:rsidRPr="005C1827">
        <w:t xml:space="preserve">από τον </w:t>
      </w:r>
      <w:r w:rsidR="001D2A99" w:rsidRPr="005C1827">
        <w:t>πιστοποιημένο ανεξάρτητο ελεγκτή</w:t>
      </w:r>
      <w:r w:rsidRPr="005C1827">
        <w:t xml:space="preserve">. Η αξιολόγηση από </w:t>
      </w:r>
      <w:r w:rsidR="0086101C" w:rsidRPr="005C1827">
        <w:t>τ</w:t>
      </w:r>
      <w:r w:rsidR="00402C66" w:rsidRPr="005C1827">
        <w:t xml:space="preserve">α τραπεζικά ιδρύματα </w:t>
      </w:r>
      <w:r w:rsidR="0086101C" w:rsidRPr="005C1827">
        <w:t>γίνονται</w:t>
      </w:r>
      <w:r w:rsidRPr="005C1827">
        <w:t xml:space="preserve"> με δική τ</w:t>
      </w:r>
      <w:r w:rsidR="0086101C" w:rsidRPr="005C1827">
        <w:t>ους</w:t>
      </w:r>
      <w:r w:rsidRPr="005C1827">
        <w:t xml:space="preserve"> ευθύνη και μεθοδολογία.</w:t>
      </w:r>
      <w:r w:rsidR="0086101C" w:rsidRPr="005C1827">
        <w:t xml:space="preserve"> Σημειώνεται ότι </w:t>
      </w:r>
      <w:r w:rsidR="00402C66" w:rsidRPr="005C1827">
        <w:t xml:space="preserve">τα τραπεζικά ιδρύματα </w:t>
      </w:r>
      <w:r w:rsidR="0086101C" w:rsidRPr="005C1827">
        <w:t xml:space="preserve">παραμένουν </w:t>
      </w:r>
      <w:r w:rsidR="004047AF" w:rsidRPr="005C1827">
        <w:t>συνυπεύθυν</w:t>
      </w:r>
      <w:r w:rsidR="00402C66" w:rsidRPr="005C1827">
        <w:t>α</w:t>
      </w:r>
      <w:r w:rsidR="0086101C" w:rsidRPr="005C1827">
        <w:t xml:space="preserve"> για τη διασφάλιση της συμμόρφωσης των χρηματοδοτικών πράξεων με τα κριτήρια επιλεξιμότητας που ορίζονται στην </w:t>
      </w:r>
      <w:r w:rsidR="00CA4603" w:rsidRPr="005C1827">
        <w:t xml:space="preserve">Υπουργική Απόφαση </w:t>
      </w:r>
      <w:r w:rsidR="0086101C" w:rsidRPr="005C1827">
        <w:t xml:space="preserve">κατά την υπογραφή της σχετικής δανειακής </w:t>
      </w:r>
      <w:r w:rsidR="00CA4603" w:rsidRPr="005C1827">
        <w:t>σύμβασης</w:t>
      </w:r>
      <w:r w:rsidR="0086101C" w:rsidRPr="005C1827">
        <w:t xml:space="preserve">, για την παρακολούθηση της εν λόγω συμμόρφωσης κατά τη διάρκεια της υλοποίησης του </w:t>
      </w:r>
      <w:r w:rsidR="003C227B" w:rsidRPr="005C1827">
        <w:t xml:space="preserve">κάθε </w:t>
      </w:r>
      <w:r w:rsidR="003C227B" w:rsidRPr="005C1827">
        <w:lastRenderedPageBreak/>
        <w:t xml:space="preserve">επενδυτικού σχεδίου </w:t>
      </w:r>
      <w:r w:rsidR="0086101C" w:rsidRPr="005C1827">
        <w:t>και για τη λήψη κατάλληλων διορθωτικών μέτρων, ανάλογα με την περίπτωση.</w:t>
      </w:r>
    </w:p>
    <w:p w14:paraId="7FF0E277" w14:textId="3DA0DE41" w:rsidR="00087876" w:rsidRPr="005C1827" w:rsidRDefault="00087876" w:rsidP="00087876">
      <w:pPr>
        <w:pStyle w:val="2"/>
        <w:rPr>
          <w:color w:val="auto"/>
        </w:rPr>
      </w:pPr>
      <w:bookmarkStart w:id="3" w:name="_Toc83050007"/>
      <w:r w:rsidRPr="005C1827">
        <w:rPr>
          <w:color w:val="auto"/>
        </w:rPr>
        <w:t xml:space="preserve">Απαιτήσεις τεκμηρίωσης </w:t>
      </w:r>
      <w:r w:rsidR="00734AE2" w:rsidRPr="005C1827">
        <w:rPr>
          <w:color w:val="auto"/>
        </w:rPr>
        <w:t>επενδυτικού σχεδίου</w:t>
      </w:r>
      <w:r w:rsidRPr="005C1827">
        <w:rPr>
          <w:color w:val="auto"/>
        </w:rPr>
        <w:t xml:space="preserve"> από τον επενδυτή</w:t>
      </w:r>
      <w:bookmarkEnd w:id="3"/>
    </w:p>
    <w:p w14:paraId="40DD9EC1" w14:textId="3035A160" w:rsidR="00087876" w:rsidRPr="005C1827" w:rsidRDefault="00087876" w:rsidP="00087876">
      <w:r w:rsidRPr="005C1827">
        <w:t xml:space="preserve">Ο επενδυτής θα πρέπει να τεκμηριώνει στον φάκελο του </w:t>
      </w:r>
      <w:r w:rsidR="00734AE2" w:rsidRPr="005C1827">
        <w:t xml:space="preserve">επενδυτικού σχεδίου </w:t>
      </w:r>
      <w:r w:rsidRPr="005C1827">
        <w:t>που υποβάλει σ</w:t>
      </w:r>
      <w:r w:rsidR="002C6386" w:rsidRPr="005C1827">
        <w:t xml:space="preserve">το τραπεζικό ίδρυμα </w:t>
      </w:r>
      <w:r w:rsidRPr="005C1827">
        <w:t>κατ’ ελάχιστον τα ζητούμενα έγγραφα και τεκμήρια, σύμφωνα με την σχετική Υπουργική Απόφαση (</w:t>
      </w:r>
      <w:r w:rsidRPr="005C1827">
        <w:rPr>
          <w:highlight w:val="yellow"/>
        </w:rPr>
        <w:t>ΧΧΧ</w:t>
      </w:r>
      <w:r w:rsidRPr="005C1827">
        <w:t>).</w:t>
      </w:r>
    </w:p>
    <w:p w14:paraId="3486FBED" w14:textId="3BA92795" w:rsidR="007A5C37" w:rsidRPr="005C1827" w:rsidRDefault="007A5C37" w:rsidP="007A5C37">
      <w:pPr>
        <w:pStyle w:val="2"/>
        <w:rPr>
          <w:color w:val="auto"/>
        </w:rPr>
      </w:pPr>
      <w:bookmarkStart w:id="4" w:name="_Toc83050008"/>
      <w:r w:rsidRPr="005C1827">
        <w:rPr>
          <w:color w:val="auto"/>
        </w:rPr>
        <w:t xml:space="preserve">Απαιτήσεις τεκμηρίωσης </w:t>
      </w:r>
      <w:r w:rsidR="003868FF" w:rsidRPr="005C1827">
        <w:rPr>
          <w:color w:val="auto"/>
        </w:rPr>
        <w:t>επενδυτικού σχεδίου από τραπεζικό ίδρυμα</w:t>
      </w:r>
      <w:bookmarkEnd w:id="4"/>
    </w:p>
    <w:p w14:paraId="397B7E2D" w14:textId="148EEA2F" w:rsidR="007A5C37" w:rsidRPr="005C1827" w:rsidRDefault="00F61C6F" w:rsidP="007A5C37">
      <w:r w:rsidRPr="005C1827">
        <w:t xml:space="preserve">Το τραπεζικό ίδρυμα </w:t>
      </w:r>
      <w:r w:rsidR="007A5C37" w:rsidRPr="005C1827">
        <w:t xml:space="preserve">θα πρέπει να παρέχει στον </w:t>
      </w:r>
      <w:r w:rsidR="001D2A99" w:rsidRPr="005C1827">
        <w:t>πιστοποιημένο ανεξάρτητο ελεγκτή</w:t>
      </w:r>
      <w:r w:rsidR="007A5C37" w:rsidRPr="005C1827">
        <w:t xml:space="preserve"> κατ’ ελάχιστον τα παρακάτω στοιχεία της αξιολόγησης που διενέργησε</w:t>
      </w:r>
      <w:r w:rsidR="00F13A4C" w:rsidRPr="005C1827">
        <w:t xml:space="preserve"> </w:t>
      </w:r>
      <w:r w:rsidR="00A21D9B" w:rsidRPr="005C1827">
        <w:t>το τραπεζικό ίδρυμα</w:t>
      </w:r>
      <w:r w:rsidR="007A5C37" w:rsidRPr="005C1827">
        <w:t xml:space="preserve"> σχετικά με το </w:t>
      </w:r>
      <w:r w:rsidR="00A21D9B" w:rsidRPr="005C1827">
        <w:t>επενδυτικό σχέδιο</w:t>
      </w:r>
      <w:r w:rsidR="00F13A4C" w:rsidRPr="005C1827">
        <w:t>, έτσι ώστε να είναι δυνατή η αξιολόγηση συμβατότητας με τους κανόνες κρατικών ενισχύσεων</w:t>
      </w:r>
      <w:r w:rsidR="007A5C37" w:rsidRPr="005C1827">
        <w:t>:</w:t>
      </w:r>
    </w:p>
    <w:p w14:paraId="27F4E331" w14:textId="3B924BD3" w:rsidR="0066474F" w:rsidRPr="005C1827" w:rsidRDefault="007A5C37" w:rsidP="00F23E9E">
      <w:pPr>
        <w:pStyle w:val="a8"/>
        <w:numPr>
          <w:ilvl w:val="0"/>
          <w:numId w:val="30"/>
        </w:numPr>
      </w:pPr>
      <w:r w:rsidRPr="005C1827">
        <w:t>Προέγκριση της δανειοδότησης του επενδυτικού σχεδίου από δάνειο του ΤΑΑ, όπου θα αναφέρονται οι όροι δανεισμού (ύψος του δανείου, επιτόκιο, περίοδος, περίοδος χάριτος, κλπ</w:t>
      </w:r>
      <w:r w:rsidR="00CA4603" w:rsidRPr="005C1827">
        <w:t>)</w:t>
      </w:r>
      <w:r w:rsidRPr="005C1827">
        <w:t xml:space="preserve">. </w:t>
      </w:r>
    </w:p>
    <w:p w14:paraId="51A45E56" w14:textId="0F4A12BC" w:rsidR="007A5C37" w:rsidRPr="005C1827" w:rsidRDefault="007A5C37" w:rsidP="00F23E9E">
      <w:pPr>
        <w:pStyle w:val="a8"/>
        <w:numPr>
          <w:ilvl w:val="0"/>
          <w:numId w:val="30"/>
        </w:numPr>
      </w:pPr>
      <w:r w:rsidRPr="005C1827">
        <w:t xml:space="preserve">Αναφορά στο συνολικό χρηματοδοτικό σχήμα, συμπεριλαμβανομένης και της ιδίας συμμετοχής του επενδυτή, όπως την αποδέχεται </w:t>
      </w:r>
      <w:r w:rsidR="00B47507" w:rsidRPr="005C1827">
        <w:t>το τραπεζικό ίδρυμα</w:t>
      </w:r>
      <w:r w:rsidRPr="005C1827">
        <w:t>.</w:t>
      </w:r>
    </w:p>
    <w:p w14:paraId="29C3E8DA" w14:textId="47C7308F" w:rsidR="007A5C37" w:rsidRPr="005C1827" w:rsidRDefault="007A5C37" w:rsidP="00F23E9E">
      <w:pPr>
        <w:pStyle w:val="a8"/>
        <w:numPr>
          <w:ilvl w:val="0"/>
          <w:numId w:val="30"/>
        </w:numPr>
      </w:pPr>
      <w:r w:rsidRPr="005C1827">
        <w:t>Πρόσφατη αξιολόγηση πιστοληπτικής ικανότητας της επιχείρησης, είτε από αναγνωρισμένο οργανισμό αξιολόγησης πιστοληπτικής ικανότητας (Credit Rating Agency), είτε από</w:t>
      </w:r>
      <w:r w:rsidR="00632E4B" w:rsidRPr="005C1827">
        <w:t xml:space="preserve"> το τραπεζικό ίδρυμα</w:t>
      </w:r>
      <w:r w:rsidRPr="005C1827">
        <w:t xml:space="preserve"> που θα παρέχει τη δανειακή χρηματοδότηση, με έναν από τους χαρακτηρισμούς</w:t>
      </w:r>
      <w:r w:rsidRPr="005C1827">
        <w:rPr>
          <w:i/>
          <w:iCs/>
        </w:rPr>
        <w:t>: AAA-A, BBB, BB, B, CCC και κάτω</w:t>
      </w:r>
      <w:r w:rsidRPr="005C1827">
        <w:t>.</w:t>
      </w:r>
    </w:p>
    <w:p w14:paraId="5BC8C457" w14:textId="10B1E236" w:rsidR="007A5C37" w:rsidRPr="005C1827" w:rsidRDefault="00675112" w:rsidP="00F23E9E">
      <w:pPr>
        <w:pStyle w:val="a8"/>
        <w:numPr>
          <w:ilvl w:val="0"/>
          <w:numId w:val="30"/>
        </w:numPr>
      </w:pPr>
      <w:r>
        <w:t>Α</w:t>
      </w:r>
      <w:r w:rsidRPr="005C1827">
        <w:t xml:space="preserve">ξιολόγηση </w:t>
      </w:r>
      <w:r w:rsidR="007A5C37" w:rsidRPr="005C1827">
        <w:t>των εξ</w:t>
      </w:r>
      <w:r w:rsidR="00F661EE" w:rsidRPr="005C1827">
        <w:t xml:space="preserve">ασφαλίσεων του επενδυτή από το τραπεζικό ίδρυμα </w:t>
      </w:r>
      <w:r w:rsidR="007A5C37" w:rsidRPr="005C1827">
        <w:t xml:space="preserve">που θα παρέχει τη δανειακή χρηματοδότηση, με έναν από τους χαρακτηρισμούς: </w:t>
      </w:r>
      <w:r w:rsidR="007A5C37" w:rsidRPr="005C1827">
        <w:rPr>
          <w:i/>
        </w:rPr>
        <w:t>Υψηλές εξασφαλίσεις</w:t>
      </w:r>
      <w:r w:rsidR="007A5C37" w:rsidRPr="005C1827">
        <w:t xml:space="preserve">, </w:t>
      </w:r>
      <w:r w:rsidR="007A5C37" w:rsidRPr="005C1827">
        <w:rPr>
          <w:i/>
        </w:rPr>
        <w:t>Συνήθεις εξασφαλίσεις</w:t>
      </w:r>
      <w:r w:rsidR="007A5C37" w:rsidRPr="005C1827">
        <w:t xml:space="preserve">, </w:t>
      </w:r>
      <w:r w:rsidR="007A5C37" w:rsidRPr="005C1827">
        <w:rPr>
          <w:i/>
        </w:rPr>
        <w:t>Χαμηλές εξασφαλίσεις</w:t>
      </w:r>
      <w:r w:rsidR="007A5C37" w:rsidRPr="005C1827">
        <w:t>.</w:t>
      </w:r>
    </w:p>
    <w:p w14:paraId="4F72A1DA" w14:textId="3AC89F24" w:rsidR="00B459BE" w:rsidRPr="005C1827" w:rsidRDefault="00B459BE" w:rsidP="00B459BE">
      <w:pPr>
        <w:pStyle w:val="2"/>
        <w:rPr>
          <w:color w:val="auto"/>
        </w:rPr>
      </w:pPr>
      <w:bookmarkStart w:id="5" w:name="_Toc83050009"/>
      <w:r w:rsidRPr="005C1827">
        <w:rPr>
          <w:color w:val="auto"/>
        </w:rPr>
        <w:t xml:space="preserve">Αξιολόγηση ύπαρξης επιλέξιμου </w:t>
      </w:r>
      <w:r w:rsidR="003868FF" w:rsidRPr="005C1827">
        <w:rPr>
          <w:color w:val="auto"/>
        </w:rPr>
        <w:t>επενδυτικού σχεδίου</w:t>
      </w:r>
      <w:bookmarkEnd w:id="5"/>
    </w:p>
    <w:p w14:paraId="7A1B9D4D" w14:textId="56980FC0" w:rsidR="00D27DA3" w:rsidRPr="005C1827" w:rsidRDefault="001D1336" w:rsidP="00D27DA3">
      <w:pPr>
        <w:rPr>
          <w:rFonts w:ascii="Calibri" w:eastAsia="Calibri" w:hAnsi="Calibri" w:cs="Calibri"/>
          <w:lang w:val="el"/>
        </w:rPr>
      </w:pPr>
      <w:r w:rsidRPr="005C1827">
        <w:rPr>
          <w:rFonts w:ascii="Calibri" w:eastAsia="Calibri" w:hAnsi="Calibri" w:cs="Calibri"/>
          <w:lang w:val="el"/>
        </w:rPr>
        <w:t>Το επενδυτικό σχέδιο</w:t>
      </w:r>
      <w:r w:rsidR="00D27DA3" w:rsidRPr="005C1827">
        <w:rPr>
          <w:rFonts w:ascii="Calibri" w:eastAsia="Calibri" w:hAnsi="Calibri" w:cs="Calibri"/>
          <w:lang w:val="el"/>
        </w:rPr>
        <w:t xml:space="preserve"> αξιολογείται ως προς την ύπαρξη επιλέξιμης επένδυσης, με βάση τον κατάλογο αποκλειόμενων δραστηριοτήτων και τις επιλέξιμες επενδυτικές δαπάνες</w:t>
      </w:r>
      <w:r w:rsidR="00D27DA3" w:rsidRPr="005C1827">
        <w:t xml:space="preserve"> σύμφωνα με την σχετική Υπουργική Απόφαση</w:t>
      </w:r>
      <w:r w:rsidR="00675112">
        <w:t>.</w:t>
      </w:r>
      <w:r w:rsidR="00D27DA3" w:rsidRPr="005C1827">
        <w:t xml:space="preserve"> </w:t>
      </w:r>
    </w:p>
    <w:p w14:paraId="106E95F3" w14:textId="4766C8F9" w:rsidR="00D27DA3" w:rsidRPr="005C1827" w:rsidRDefault="00D27DA3" w:rsidP="00D27DA3">
      <w:pPr>
        <w:rPr>
          <w:rFonts w:ascii="Calibri" w:eastAsia="Calibri" w:hAnsi="Calibri" w:cs="Calibri"/>
          <w:lang w:val="el"/>
        </w:rPr>
      </w:pPr>
      <w:r w:rsidRPr="005C1827">
        <w:rPr>
          <w:rFonts w:ascii="Calibri" w:eastAsia="Calibri" w:hAnsi="Calibri" w:cs="Calibri"/>
          <w:lang w:val="el"/>
        </w:rPr>
        <w:t xml:space="preserve">Οι αποκλειόμενες δραστηριότητες </w:t>
      </w:r>
      <w:r w:rsidR="00CA4603" w:rsidRPr="005C1827">
        <w:rPr>
          <w:rFonts w:ascii="Calibri" w:eastAsia="Calibri" w:hAnsi="Calibri" w:cs="Calibri"/>
          <w:lang w:val="el"/>
        </w:rPr>
        <w:t xml:space="preserve">για χρηματοδότηση μέσω των δανείων του ΤΑΑ </w:t>
      </w:r>
      <w:r w:rsidRPr="005C1827">
        <w:rPr>
          <w:rFonts w:ascii="Calibri" w:eastAsia="Calibri" w:hAnsi="Calibri" w:cs="Calibri"/>
          <w:lang w:val="el"/>
        </w:rPr>
        <w:t>είναι:</w:t>
      </w:r>
    </w:p>
    <w:p w14:paraId="13C8BCCE" w14:textId="2E76B19C" w:rsidR="00D27DA3" w:rsidRPr="005C1827" w:rsidRDefault="00D27DA3" w:rsidP="00F23E9E">
      <w:pPr>
        <w:pStyle w:val="a8"/>
        <w:numPr>
          <w:ilvl w:val="0"/>
          <w:numId w:val="44"/>
        </w:numPr>
      </w:pPr>
      <w:r w:rsidRPr="005C1827">
        <w:t>Δραστηριότητες που απαγορεύονται από την κείμενη εθνική νομοθεσία</w:t>
      </w:r>
      <w:r w:rsidR="00355292" w:rsidRPr="005C1827">
        <w:t>.</w:t>
      </w:r>
      <w:r w:rsidRPr="005C1827">
        <w:t xml:space="preserve"> </w:t>
      </w:r>
    </w:p>
    <w:p w14:paraId="7D7B523B" w14:textId="77777777" w:rsidR="00D27DA3" w:rsidRPr="005C1827" w:rsidRDefault="00D27DA3" w:rsidP="00F23E9E">
      <w:pPr>
        <w:pStyle w:val="a8"/>
        <w:numPr>
          <w:ilvl w:val="0"/>
          <w:numId w:val="44"/>
        </w:numPr>
      </w:pPr>
      <w:r w:rsidRPr="005C1827">
        <w:t>Δραστηριότητες που περιορίζουν τα ατομικά δικαιώματα και τις ατομικές ελευθερίες ή παραβιάζουν τα ανθρώπινα δικαιώματα.</w:t>
      </w:r>
    </w:p>
    <w:p w14:paraId="7F0EA228" w14:textId="05DFA296" w:rsidR="00D27DA3" w:rsidRPr="005C1827" w:rsidRDefault="00E82948" w:rsidP="00F23E9E">
      <w:pPr>
        <w:pStyle w:val="a8"/>
        <w:numPr>
          <w:ilvl w:val="0"/>
          <w:numId w:val="44"/>
        </w:numPr>
      </w:pPr>
      <w:r w:rsidRPr="005C1827">
        <w:t>Σ</w:t>
      </w:r>
      <w:r w:rsidR="00D27DA3" w:rsidRPr="005C1827">
        <w:t>τον τομέα</w:t>
      </w:r>
      <w:r w:rsidR="00AA7463" w:rsidRPr="005C1827">
        <w:t xml:space="preserve"> των αμυντικών δραστηριοτήτων, </w:t>
      </w:r>
      <w:r w:rsidR="00D27DA3" w:rsidRPr="005C1827">
        <w:t>η χρήση, ανάπτυξη ή παραγωγή προϊόντων και τεχνολογιών που απαγορεύονται από το ισχύον διεθνές δίκαιο.</w:t>
      </w:r>
    </w:p>
    <w:p w14:paraId="6F6FDB21" w14:textId="77777777" w:rsidR="00D27DA3" w:rsidRPr="005C1827" w:rsidRDefault="00D27DA3" w:rsidP="00F23E9E">
      <w:pPr>
        <w:pStyle w:val="a8"/>
        <w:numPr>
          <w:ilvl w:val="0"/>
          <w:numId w:val="44"/>
        </w:numPr>
      </w:pPr>
      <w:r w:rsidRPr="005C1827">
        <w:t>Προϊόντα και δραστηριότητες που συνδέονται με τον καπνό (παραγωγή, διανομή, μεταποίηση και εμπόριο).</w:t>
      </w:r>
    </w:p>
    <w:p w14:paraId="313671E8" w14:textId="22A125B3" w:rsidR="00D27DA3" w:rsidRPr="005C1827" w:rsidRDefault="00D27DA3" w:rsidP="00F23E9E">
      <w:pPr>
        <w:pStyle w:val="a8"/>
        <w:numPr>
          <w:ilvl w:val="0"/>
          <w:numId w:val="44"/>
        </w:numPr>
      </w:pPr>
      <w:r w:rsidRPr="005C1827">
        <w:t xml:space="preserve">Δραστηριότητες που εξαιρούνται από τη χρηματοδότηση σύμφωνα με τις οικείες διατάξεις του κανονισμού </w:t>
      </w:r>
      <w:r w:rsidR="00675112">
        <w:rPr>
          <w:lang w:val="en-US"/>
        </w:rPr>
        <w:t>Horizon</w:t>
      </w:r>
      <w:r w:rsidR="00675112" w:rsidRPr="00AD382C">
        <w:t xml:space="preserve"> </w:t>
      </w:r>
      <w:r w:rsidR="00675112">
        <w:rPr>
          <w:lang w:val="en-US"/>
        </w:rPr>
        <w:t>Europe</w:t>
      </w:r>
      <w:r w:rsidRPr="005C1827">
        <w:t>.</w:t>
      </w:r>
    </w:p>
    <w:p w14:paraId="10BCA0EF" w14:textId="77777777" w:rsidR="00D27DA3" w:rsidRPr="005C1827" w:rsidRDefault="00D27DA3" w:rsidP="00F23E9E">
      <w:pPr>
        <w:pStyle w:val="a8"/>
        <w:numPr>
          <w:ilvl w:val="0"/>
          <w:numId w:val="44"/>
        </w:numPr>
      </w:pPr>
      <w:r w:rsidRPr="005C1827">
        <w:t xml:space="preserve">Τυχερά παιχνίδια (δραστηριότητες παραγωγής, κατασκευής, διανομής, μεταποίησης, εμπορίου ή λογισμικού). </w:t>
      </w:r>
    </w:p>
    <w:p w14:paraId="2F76A786" w14:textId="409D0F7C" w:rsidR="00D27DA3" w:rsidRPr="005C1827" w:rsidRDefault="00D27DA3" w:rsidP="00F23E9E">
      <w:pPr>
        <w:pStyle w:val="a8"/>
        <w:numPr>
          <w:ilvl w:val="0"/>
          <w:numId w:val="44"/>
        </w:numPr>
      </w:pPr>
      <w:r w:rsidRPr="005C1827">
        <w:t>Εμπόριο του σεξ και συναφείς υποδομές, υπηρεσίες και μέσα</w:t>
      </w:r>
      <w:r w:rsidR="00355292" w:rsidRPr="005C1827">
        <w:t>.</w:t>
      </w:r>
      <w:r w:rsidRPr="005C1827">
        <w:t xml:space="preserve"> </w:t>
      </w:r>
    </w:p>
    <w:p w14:paraId="76058A15" w14:textId="3A6351ED" w:rsidR="00D27DA3" w:rsidRPr="005C1827" w:rsidRDefault="00D27DA3" w:rsidP="00F23E9E">
      <w:pPr>
        <w:pStyle w:val="a8"/>
        <w:numPr>
          <w:ilvl w:val="0"/>
          <w:numId w:val="44"/>
        </w:numPr>
      </w:pPr>
      <w:r w:rsidRPr="005C1827">
        <w:t>Δραστηριότητες που αφορούν ζώντα ζώα για πειραματικούς και επιστημονικούς σκοπούς, εφόσον δεν υπάρχει εγγύηση για τη συμμόρφωση με την σχετική Ευρωπαϊκή Σύμβαση.</w:t>
      </w:r>
    </w:p>
    <w:p w14:paraId="4D8F2FA1" w14:textId="6256C304" w:rsidR="00D27DA3" w:rsidRPr="005C1827" w:rsidRDefault="00D27DA3" w:rsidP="00F23E9E">
      <w:pPr>
        <w:pStyle w:val="a8"/>
        <w:numPr>
          <w:ilvl w:val="0"/>
          <w:numId w:val="44"/>
        </w:numPr>
      </w:pPr>
      <w:r w:rsidRPr="005C1827">
        <w:lastRenderedPageBreak/>
        <w:t>Δραστηριότητα ανάπτυξης ακινήτων, ωστόσο, οι δραστηριότητες στον τομέα των ακινήτων που σχετίζονται με τους στόχους του ΤΑΑ και εντάσσονται σε έναν εκ των πέντε  πυλώνων του δανειακού προγράμματος του ΤΑΑ, είναι επιλέξιμες</w:t>
      </w:r>
      <w:r w:rsidR="00355292" w:rsidRPr="005C1827">
        <w:t>.</w:t>
      </w:r>
    </w:p>
    <w:p w14:paraId="216F996E" w14:textId="7CE2E1F4" w:rsidR="00D27DA3" w:rsidRPr="005C1827" w:rsidRDefault="00D27DA3" w:rsidP="00F23E9E">
      <w:pPr>
        <w:pStyle w:val="a8"/>
        <w:numPr>
          <w:ilvl w:val="0"/>
          <w:numId w:val="44"/>
        </w:numPr>
      </w:pPr>
      <w:r w:rsidRPr="005C1827">
        <w:t>Χρηματοπιστωτικές δραστηριότητες που αποσκοπούν σε εκποίηση περιουσιακών στοιχείων καθώς και δραστηριότητες Τραπεζικών ιδρυμάτων και συνδεδεμένων επιχειρήσεων.</w:t>
      </w:r>
    </w:p>
    <w:p w14:paraId="1864EA69" w14:textId="37740035" w:rsidR="00D27DA3" w:rsidRPr="005C1827" w:rsidRDefault="00D27DA3" w:rsidP="00F23E9E">
      <w:pPr>
        <w:pStyle w:val="a8"/>
        <w:numPr>
          <w:ilvl w:val="0"/>
          <w:numId w:val="44"/>
        </w:numPr>
      </w:pPr>
      <w:r w:rsidRPr="005C1827">
        <w:t>Παροπλισμός, λειτουργία, προσαρμογή ή κατασκευή πυρηνικών σταθμών ηλεκτροπαραγωγής</w:t>
      </w:r>
      <w:r w:rsidR="00CA4603" w:rsidRPr="005C1827">
        <w:t>.</w:t>
      </w:r>
    </w:p>
    <w:p w14:paraId="209F7880" w14:textId="1C524A20" w:rsidR="00D27DA3" w:rsidRPr="005C1827" w:rsidRDefault="00D27DA3" w:rsidP="00F23E9E">
      <w:pPr>
        <w:pStyle w:val="a8"/>
        <w:numPr>
          <w:ilvl w:val="0"/>
          <w:numId w:val="44"/>
        </w:numPr>
      </w:pPr>
      <w:r w:rsidRPr="005C1827">
        <w:t xml:space="preserve">Επενδύσεις που σχετίζονται με την εξόρυξη ή την εξαγωγή, επεξεργασία, διανομή, αποθήκευση ή καύση στερεών ορυκτών καυσίμων και πετρελαίου, καθώς και επενδύσεις που σχετίζονται με την άντληση φυσικού αερίου. </w:t>
      </w:r>
      <w:hyperlink r:id="rId16" w:history="1">
        <w:r w:rsidRPr="005C1827">
          <w:rPr>
            <w:rStyle w:val="-"/>
            <w:color w:val="auto"/>
          </w:rPr>
          <w:t>Ισχύουν συγκεκριμένες εξαιρέσεις</w:t>
        </w:r>
      </w:hyperlink>
      <w:r w:rsidR="000D456D" w:rsidRPr="005C1827">
        <w:rPr>
          <w:rStyle w:val="a5"/>
        </w:rPr>
        <w:footnoteReference w:id="2"/>
      </w:r>
      <w:r w:rsidRPr="005C1827">
        <w:t xml:space="preserve">. </w:t>
      </w:r>
    </w:p>
    <w:p w14:paraId="1821599A" w14:textId="5C4745D9" w:rsidR="00D27DA3" w:rsidRPr="005C1827" w:rsidRDefault="00D27DA3" w:rsidP="00F23E9E">
      <w:pPr>
        <w:pStyle w:val="a8"/>
        <w:numPr>
          <w:ilvl w:val="0"/>
          <w:numId w:val="44"/>
        </w:numPr>
      </w:pPr>
      <w:r w:rsidRPr="005C1827">
        <w:t xml:space="preserve">Επενδύσεις σε εγκαταστάσεις για την υγειονομική ταφή αποβλήτων. </w:t>
      </w:r>
      <w:hyperlink r:id="rId17" w:history="1">
        <w:r w:rsidR="00C51714" w:rsidRPr="005C1827">
          <w:rPr>
            <w:rStyle w:val="-"/>
            <w:color w:val="auto"/>
          </w:rPr>
          <w:t>Ισχύουν συγκεκριμένες εξαιρέσεις</w:t>
        </w:r>
      </w:hyperlink>
      <w:r w:rsidR="00B53049" w:rsidRPr="005C1827">
        <w:rPr>
          <w:vertAlign w:val="superscript"/>
        </w:rPr>
        <w:t>1</w:t>
      </w:r>
      <w:r w:rsidRPr="005C1827">
        <w:t>.</w:t>
      </w:r>
    </w:p>
    <w:p w14:paraId="527728B5" w14:textId="7BE65C81" w:rsidR="00D27DA3" w:rsidRPr="005C1827" w:rsidRDefault="00D27DA3" w:rsidP="00F23E9E">
      <w:pPr>
        <w:pStyle w:val="a8"/>
        <w:numPr>
          <w:ilvl w:val="0"/>
          <w:numId w:val="44"/>
        </w:numPr>
      </w:pPr>
      <w:r w:rsidRPr="005C1827">
        <w:t xml:space="preserve">Επενδύσεις σε μονάδες μηχανικής-βιολογικής επεξεργασίας (ΜΒΕ </w:t>
      </w:r>
      <w:hyperlink r:id="rId18" w:history="1">
        <w:r w:rsidR="00B53049" w:rsidRPr="005C1827">
          <w:rPr>
            <w:rStyle w:val="-"/>
            <w:color w:val="auto"/>
          </w:rPr>
          <w:t>Ισχύουν συγκεκριμένες εξαιρέσεις</w:t>
        </w:r>
      </w:hyperlink>
      <w:r w:rsidR="00B53049" w:rsidRPr="005C1827">
        <w:rPr>
          <w:vertAlign w:val="superscript"/>
        </w:rPr>
        <w:t>1</w:t>
      </w:r>
      <w:r w:rsidRPr="005C1827">
        <w:t>.</w:t>
      </w:r>
    </w:p>
    <w:p w14:paraId="1A9C8AF7" w14:textId="308BBCD9" w:rsidR="00D27DA3" w:rsidRPr="005C1827" w:rsidRDefault="00D27DA3" w:rsidP="00F23E9E">
      <w:pPr>
        <w:pStyle w:val="a8"/>
        <w:numPr>
          <w:ilvl w:val="0"/>
          <w:numId w:val="44"/>
        </w:numPr>
      </w:pPr>
      <w:r w:rsidRPr="005C1827">
        <w:t xml:space="preserve">Επενδύσεις σε αποτεφρωτήρες για την επεξεργασία αποβλήτων. </w:t>
      </w:r>
      <w:hyperlink r:id="rId19" w:history="1">
        <w:r w:rsidR="00B53049" w:rsidRPr="005C1827">
          <w:rPr>
            <w:rStyle w:val="-"/>
            <w:color w:val="auto"/>
          </w:rPr>
          <w:t>Ισχύουν συγκεκριμένες εξαιρέσεις</w:t>
        </w:r>
      </w:hyperlink>
      <w:r w:rsidR="00B53049" w:rsidRPr="005C1827">
        <w:rPr>
          <w:vertAlign w:val="superscript"/>
        </w:rPr>
        <w:t>1</w:t>
      </w:r>
      <w:r w:rsidRPr="005C1827">
        <w:t>.</w:t>
      </w:r>
    </w:p>
    <w:p w14:paraId="4D6B71A5" w14:textId="5E8470FA" w:rsidR="00D27DA3" w:rsidRPr="005C1827" w:rsidRDefault="00D27DA3" w:rsidP="003B4EB2">
      <w:r w:rsidRPr="005C1827">
        <w:t>Οι επιλέξιμες δαπάνες που δύναται να περιλαμβάνονται στα επενδυτικά σχέδια των δανείων του ΤΑΑ είναι</w:t>
      </w:r>
      <w:r w:rsidR="00B87006" w:rsidRPr="005C1827">
        <w:t xml:space="preserve"> δαπάνες που πραγματοποιούνται εντός της ελληνικής επικράτειας και περιλαμβάνουν</w:t>
      </w:r>
      <w:r w:rsidRPr="005C1827">
        <w:t>:</w:t>
      </w:r>
    </w:p>
    <w:p w14:paraId="2DF3A821" w14:textId="77777777" w:rsidR="00D27DA3" w:rsidRPr="005C1827" w:rsidRDefault="00D27DA3" w:rsidP="00F23E9E">
      <w:pPr>
        <w:pStyle w:val="a8"/>
        <w:numPr>
          <w:ilvl w:val="0"/>
          <w:numId w:val="43"/>
        </w:numPr>
      </w:pPr>
      <w:r w:rsidRPr="005C1827">
        <w:t>Γήπεδα αγορά, Γήπεδα χρήση (αποσβέσεις/μισθώσεις), Διαμόρφωση γηπέδων</w:t>
      </w:r>
    </w:p>
    <w:p w14:paraId="7785B4A7" w14:textId="77777777" w:rsidR="00D27DA3" w:rsidRPr="005C1827" w:rsidRDefault="00D27DA3" w:rsidP="00F23E9E">
      <w:pPr>
        <w:pStyle w:val="a8"/>
        <w:numPr>
          <w:ilvl w:val="0"/>
          <w:numId w:val="43"/>
        </w:numPr>
      </w:pPr>
      <w:r w:rsidRPr="005C1827">
        <w:t>Κτήρια αγορά / κατασκευή, Κτήρια χρήση (αποσβέσεις/μισθώσεις)</w:t>
      </w:r>
    </w:p>
    <w:p w14:paraId="5F70737C" w14:textId="77777777" w:rsidR="00D27DA3" w:rsidRPr="005C1827" w:rsidRDefault="00D27DA3" w:rsidP="00F23E9E">
      <w:pPr>
        <w:pStyle w:val="a8"/>
        <w:numPr>
          <w:ilvl w:val="0"/>
          <w:numId w:val="43"/>
        </w:numPr>
      </w:pPr>
      <w:r w:rsidRPr="005C1827">
        <w:t>Εξοπλισμός αγορά / κατασκευή, Εξοπλισμός χρήση (αποσβέσεις/μισθώσεις)</w:t>
      </w:r>
    </w:p>
    <w:p w14:paraId="780B4FF5" w14:textId="77777777" w:rsidR="00D27DA3" w:rsidRPr="005C1827" w:rsidRDefault="00D27DA3" w:rsidP="00F23E9E">
      <w:pPr>
        <w:pStyle w:val="a8"/>
        <w:numPr>
          <w:ilvl w:val="0"/>
          <w:numId w:val="43"/>
        </w:numPr>
      </w:pPr>
      <w:r w:rsidRPr="005C1827">
        <w:t>Οχήματα αγορά, Οχήματα χρήση (αποσβέσεις/μισθώσεις)</w:t>
      </w:r>
    </w:p>
    <w:p w14:paraId="65076A21" w14:textId="77777777" w:rsidR="00D27DA3" w:rsidRPr="005C1827" w:rsidRDefault="00D27DA3" w:rsidP="00F23E9E">
      <w:pPr>
        <w:pStyle w:val="a8"/>
        <w:numPr>
          <w:ilvl w:val="0"/>
          <w:numId w:val="43"/>
        </w:numPr>
      </w:pPr>
      <w:r w:rsidRPr="005C1827">
        <w:t>Άυλα αγορά / κατασκευή, Άυλα χρήση (αποσβέσεις/συνδρομές)</w:t>
      </w:r>
    </w:p>
    <w:p w14:paraId="687F6534" w14:textId="7D70F380" w:rsidR="00D27DA3" w:rsidRPr="005C1827" w:rsidRDefault="00D27DA3" w:rsidP="00F23E9E">
      <w:pPr>
        <w:pStyle w:val="a8"/>
        <w:numPr>
          <w:ilvl w:val="0"/>
          <w:numId w:val="43"/>
        </w:numPr>
      </w:pPr>
      <w:r w:rsidRPr="005C1827">
        <w:t>Μισθοδοσία</w:t>
      </w:r>
      <w:r w:rsidR="0007254C" w:rsidRPr="005C1827">
        <w:t xml:space="preserve"> συνδεδεμένη με </w:t>
      </w:r>
      <w:r w:rsidR="00203686" w:rsidRPr="005C1827">
        <w:t>το επενδυτικό σχέδιο (</w:t>
      </w:r>
      <w:r w:rsidR="004958EA" w:rsidRPr="005C1827">
        <w:t>όπως προβλέπεται από τον ΓΑΚ</w:t>
      </w:r>
      <w:r w:rsidR="001E53C2" w:rsidRPr="005C1827">
        <w:rPr>
          <w:rStyle w:val="a5"/>
        </w:rPr>
        <w:footnoteReference w:id="3"/>
      </w:r>
      <w:r w:rsidR="004958EA" w:rsidRPr="005C1827">
        <w:t>)</w:t>
      </w:r>
      <w:r w:rsidR="0007254C" w:rsidRPr="005C1827">
        <w:t xml:space="preserve"> </w:t>
      </w:r>
    </w:p>
    <w:p w14:paraId="7A5A6756" w14:textId="3561C132" w:rsidR="00D27DA3" w:rsidRPr="005C1827" w:rsidRDefault="0009737B" w:rsidP="00F23E9E">
      <w:pPr>
        <w:pStyle w:val="a8"/>
        <w:numPr>
          <w:ilvl w:val="0"/>
          <w:numId w:val="43"/>
        </w:numPr>
      </w:pPr>
      <w:r w:rsidRPr="005C1827">
        <w:t>Μετακινήσεις</w:t>
      </w:r>
      <w:r w:rsidR="00D27DA3" w:rsidRPr="005C1827">
        <w:t xml:space="preserve"> / εξοδολόγια</w:t>
      </w:r>
    </w:p>
    <w:p w14:paraId="793B3A36" w14:textId="77777777" w:rsidR="00D27DA3" w:rsidRPr="005C1827" w:rsidRDefault="00D27DA3" w:rsidP="00F23E9E">
      <w:pPr>
        <w:pStyle w:val="a8"/>
        <w:numPr>
          <w:ilvl w:val="0"/>
          <w:numId w:val="43"/>
        </w:numPr>
      </w:pPr>
      <w:r w:rsidRPr="005C1827">
        <w:t>Υπηρεσίες τρίτων</w:t>
      </w:r>
    </w:p>
    <w:p w14:paraId="70352014" w14:textId="77777777" w:rsidR="00D27DA3" w:rsidRPr="005C1827" w:rsidRDefault="00D27DA3" w:rsidP="00F23E9E">
      <w:pPr>
        <w:pStyle w:val="a8"/>
        <w:numPr>
          <w:ilvl w:val="0"/>
          <w:numId w:val="43"/>
        </w:numPr>
      </w:pPr>
      <w:r w:rsidRPr="005C1827">
        <w:t>Αναλώσιμα</w:t>
      </w:r>
    </w:p>
    <w:p w14:paraId="411C7FD9" w14:textId="77777777" w:rsidR="00D27DA3" w:rsidRPr="005C1827" w:rsidRDefault="00D27DA3" w:rsidP="00F23E9E">
      <w:pPr>
        <w:pStyle w:val="a8"/>
        <w:numPr>
          <w:ilvl w:val="0"/>
          <w:numId w:val="43"/>
        </w:numPr>
      </w:pPr>
      <w:r w:rsidRPr="005C1827">
        <w:t>Λειτουργικά (επικοινωνία, ενέργεια, συντήρηση, μισθώματα, έξοδα διοίκησης, ασφάλιση κλπ.)</w:t>
      </w:r>
    </w:p>
    <w:p w14:paraId="7D6186EA" w14:textId="77777777" w:rsidR="00D27DA3" w:rsidRPr="005C1827" w:rsidRDefault="00D27DA3" w:rsidP="00F23E9E">
      <w:pPr>
        <w:pStyle w:val="a8"/>
        <w:numPr>
          <w:ilvl w:val="0"/>
          <w:numId w:val="43"/>
        </w:numPr>
      </w:pPr>
      <w:r w:rsidRPr="005C1827">
        <w:t>Κόστος κεφαλαίων</w:t>
      </w:r>
    </w:p>
    <w:p w14:paraId="2181AC1B" w14:textId="3B9D6280" w:rsidR="00D27DA3" w:rsidRPr="005C1827" w:rsidRDefault="00D27DA3" w:rsidP="00F23E9E">
      <w:pPr>
        <w:pStyle w:val="a8"/>
        <w:numPr>
          <w:ilvl w:val="0"/>
          <w:numId w:val="43"/>
        </w:numPr>
      </w:pPr>
      <w:r w:rsidRPr="005C1827">
        <w:t>Κεφάλαιο κίνησης (δαπάνες λειτουργίας, δαπάνες σχετικές με το συναλλακτικό κύκλωμα της επιχείρησης, ΦΠΑ, κλπ</w:t>
      </w:r>
      <w:r w:rsidR="00E744BF" w:rsidRPr="005C1827">
        <w:t>.</w:t>
      </w:r>
      <w:r w:rsidRPr="005C1827">
        <w:t>)</w:t>
      </w:r>
    </w:p>
    <w:p w14:paraId="06B44D45" w14:textId="77777777" w:rsidR="00D27DA3" w:rsidRPr="005C1827" w:rsidRDefault="00D27DA3" w:rsidP="00F23E9E">
      <w:pPr>
        <w:pStyle w:val="a8"/>
        <w:numPr>
          <w:ilvl w:val="0"/>
          <w:numId w:val="43"/>
        </w:numPr>
      </w:pPr>
      <w:r w:rsidRPr="005C1827">
        <w:t>Δαπάνες προώθησης και επικοινωνίας (Marketing)</w:t>
      </w:r>
    </w:p>
    <w:p w14:paraId="0347F9A4" w14:textId="77777777" w:rsidR="0009737B" w:rsidRPr="005C1827" w:rsidRDefault="00D27DA3" w:rsidP="00D27DA3">
      <w:r w:rsidRPr="005C1827">
        <w:t>Σημειώνεται ότι</w:t>
      </w:r>
      <w:r w:rsidR="0009737B" w:rsidRPr="005C1827">
        <w:t>:</w:t>
      </w:r>
    </w:p>
    <w:p w14:paraId="3AE18513" w14:textId="1A4FA417" w:rsidR="0009737B" w:rsidRPr="005C1827" w:rsidRDefault="0009737B" w:rsidP="0009737B">
      <w:pPr>
        <w:pStyle w:val="a8"/>
        <w:numPr>
          <w:ilvl w:val="0"/>
          <w:numId w:val="63"/>
        </w:numPr>
      </w:pPr>
      <w:r w:rsidRPr="005C1827">
        <w:t xml:space="preserve">Η αγορά γηπέδου είναι επιλέξιμη εφόσον </w:t>
      </w:r>
      <w:r w:rsidR="00A436D4" w:rsidRPr="005C1827">
        <w:t>είναι συνυφασμένη με τ</w:t>
      </w:r>
      <w:r w:rsidR="003B7AA5" w:rsidRPr="005C1827">
        <w:t>ο</w:t>
      </w:r>
      <w:r w:rsidR="00C26193" w:rsidRPr="005C1827">
        <w:t xml:space="preserve"> επενδυτικό σχέδιο </w:t>
      </w:r>
      <w:r w:rsidR="003B7AA5" w:rsidRPr="005C1827">
        <w:t>και δεν ξεπερνά το 30%</w:t>
      </w:r>
      <w:r w:rsidR="00030BD2" w:rsidRPr="005C1827">
        <w:t xml:space="preserve"> των επιλέξιμων δαπανών του επενδυτικού σχεδίου</w:t>
      </w:r>
      <w:r w:rsidR="003B7AA5" w:rsidRPr="005C1827">
        <w:t>.</w:t>
      </w:r>
      <w:r w:rsidRPr="005C1827">
        <w:t xml:space="preserve"> </w:t>
      </w:r>
    </w:p>
    <w:p w14:paraId="4E051227" w14:textId="413A8782" w:rsidR="00D27DA3" w:rsidRPr="005C1827" w:rsidRDefault="00D27DA3" w:rsidP="0009737B">
      <w:pPr>
        <w:pStyle w:val="a8"/>
        <w:numPr>
          <w:ilvl w:val="0"/>
          <w:numId w:val="63"/>
        </w:numPr>
      </w:pPr>
      <w:r w:rsidRPr="005C1827">
        <w:t xml:space="preserve">το άθροισμα του </w:t>
      </w:r>
      <w:r w:rsidR="12FD82E7" w:rsidRPr="005C1827">
        <w:t>κεφαλαίου</w:t>
      </w:r>
      <w:r w:rsidRPr="005C1827">
        <w:t xml:space="preserve"> κίνησης και των δαπ</w:t>
      </w:r>
      <w:r w:rsidR="008A0925" w:rsidRPr="005C1827">
        <w:t>ανών</w:t>
      </w:r>
      <w:r w:rsidRPr="005C1827">
        <w:t xml:space="preserve"> προώθησης και επικοινωνίας δεν μπορούν να ξεπερνούν το 30% των επιλέξιμων δαπανών</w:t>
      </w:r>
      <w:r w:rsidR="00412B23" w:rsidRPr="005C1827">
        <w:t xml:space="preserve"> του επενδυτικού σχεδίου</w:t>
      </w:r>
      <w:r w:rsidRPr="005C1827">
        <w:t>.</w:t>
      </w:r>
    </w:p>
    <w:p w14:paraId="3D02AF3E" w14:textId="56DCA911" w:rsidR="003B4EB2" w:rsidRPr="005C1827" w:rsidRDefault="003B4EB2" w:rsidP="003B4EB2">
      <w:pPr>
        <w:pStyle w:val="2"/>
        <w:rPr>
          <w:color w:val="auto"/>
        </w:rPr>
      </w:pPr>
      <w:bookmarkStart w:id="6" w:name="_Toc83050010"/>
      <w:r w:rsidRPr="005C1827">
        <w:rPr>
          <w:color w:val="auto"/>
        </w:rPr>
        <w:lastRenderedPageBreak/>
        <w:t xml:space="preserve">Αξιολόγηση επιλεξιμότητας </w:t>
      </w:r>
      <w:r w:rsidR="00F61C6F" w:rsidRPr="005C1827">
        <w:rPr>
          <w:color w:val="auto"/>
        </w:rPr>
        <w:t xml:space="preserve">επενδυτικού σχεδίου </w:t>
      </w:r>
      <w:r w:rsidRPr="005C1827">
        <w:rPr>
          <w:color w:val="auto"/>
        </w:rPr>
        <w:t>με βάση την συμμόρφωση του με την Αρχή μη πρόκλησης σημαντικής βλάβης (DNSH Principle)</w:t>
      </w:r>
      <w:bookmarkEnd w:id="6"/>
    </w:p>
    <w:p w14:paraId="1AAFDAEE" w14:textId="20C095B5" w:rsidR="003B4EB2" w:rsidRPr="005C1827" w:rsidRDefault="003B4EB2" w:rsidP="003B4EB2">
      <w:r w:rsidRPr="005C1827">
        <w:t xml:space="preserve">Ελέγχεται η ύπαρξη Υπεύθυνης Δήλωσης από τον επενδυτή στην οποία αναφέρεται ότι το </w:t>
      </w:r>
      <w:r w:rsidR="003E1788" w:rsidRPr="005C1827">
        <w:t>επενδυτικό σχέδιο</w:t>
      </w:r>
      <w:r w:rsidRPr="005C1827">
        <w:t xml:space="preserve"> έχει λάβει υπόψη τις απαιτήσεις και συμμορφώνεται με την Εθνική και Ευρωπαϊκή νομοθεσία για το περιβάλλον.</w:t>
      </w:r>
    </w:p>
    <w:p w14:paraId="019AFF31" w14:textId="44A1A33F" w:rsidR="003B4EB2" w:rsidRPr="005C1827" w:rsidRDefault="003B4EB2" w:rsidP="003B4EB2">
      <w:r w:rsidRPr="005C1827">
        <w:t xml:space="preserve">Ελέγχεται η πρόβλεψη συμμόρφωσης της επενδυτικής δραστηριότητας του </w:t>
      </w:r>
      <w:r w:rsidR="00545AB9" w:rsidRPr="005C1827">
        <w:t>επενδυτικού σχεδίου</w:t>
      </w:r>
      <w:r w:rsidRPr="005C1827">
        <w:t xml:space="preserve"> με τα κριτήρια «μη πρόκλησης σημαντικής βλάβης», όπως τεκμηριώνεται είτε:</w:t>
      </w:r>
    </w:p>
    <w:p w14:paraId="6E14BD9C" w14:textId="0738950D" w:rsidR="003B4EB2" w:rsidRPr="005C1827" w:rsidRDefault="003B4EB2" w:rsidP="00F23E9E">
      <w:pPr>
        <w:pStyle w:val="a8"/>
        <w:numPr>
          <w:ilvl w:val="0"/>
          <w:numId w:val="45"/>
        </w:numPr>
      </w:pPr>
      <w:r w:rsidRPr="005C1827">
        <w:t xml:space="preserve">σε Μελέτη συμμόρφωσης του </w:t>
      </w:r>
      <w:r w:rsidR="00545AB9" w:rsidRPr="005C1827">
        <w:t>επενδυτικού σχεδίου</w:t>
      </w:r>
      <w:r w:rsidRPr="005C1827">
        <w:t xml:space="preserve"> με την αρχή της «μη πρόκλησης σημαντικής βλάβης (Do No Significant Harm ή DNSH principle)», η οποία έχει εκπονηθεί από εξειδικευμένους συμβούλους / μηχανικούς.</w:t>
      </w:r>
    </w:p>
    <w:p w14:paraId="20E18F22" w14:textId="7FCDA0BD" w:rsidR="003B4EB2" w:rsidRPr="005C1827" w:rsidRDefault="007A68FC" w:rsidP="00F23E9E">
      <w:pPr>
        <w:pStyle w:val="a8"/>
        <w:numPr>
          <w:ilvl w:val="0"/>
          <w:numId w:val="45"/>
        </w:numPr>
      </w:pPr>
      <w:r w:rsidRPr="005C1827">
        <w:t>σ</w:t>
      </w:r>
      <w:r w:rsidR="003B4EB2" w:rsidRPr="005C1827">
        <w:t>ε Υπεύθυνη Δήλωση του επενδυτή.</w:t>
      </w:r>
    </w:p>
    <w:p w14:paraId="7A88BB05" w14:textId="406FFC36" w:rsidR="003B4EB2" w:rsidRPr="005C1827" w:rsidRDefault="003B4EB2" w:rsidP="003B4EB2">
      <w:r w:rsidRPr="005C1827">
        <w:t xml:space="preserve">Για </w:t>
      </w:r>
      <w:r w:rsidR="007A68FC" w:rsidRPr="005C1827">
        <w:t>επενδυτικά σχέδια</w:t>
      </w:r>
      <w:r w:rsidRPr="005C1827">
        <w:t xml:space="preserve"> με προϋπολογισμό που υπερβαίνει το όριο των 10 εκατ. </w:t>
      </w:r>
      <w:r w:rsidR="007A68FC" w:rsidRPr="005C1827">
        <w:t>ευρώ</w:t>
      </w:r>
      <w:r w:rsidRPr="005C1827">
        <w:t xml:space="preserve"> ελέγχεται η </w:t>
      </w:r>
      <w:r w:rsidR="00365E46" w:rsidRPr="005C1827">
        <w:t xml:space="preserve">ύπαρξη μελέτης ελέγχου </w:t>
      </w:r>
      <w:r w:rsidRPr="005C1827">
        <w:t xml:space="preserve">βιωσιμότητας (Sustainability Proofing) της επενδυτικής δραστηριότητας του </w:t>
      </w:r>
      <w:r w:rsidR="00940F0A" w:rsidRPr="005C1827">
        <w:t>επενδυτικού σχεδίου</w:t>
      </w:r>
      <w:r w:rsidRPr="005C1827">
        <w:t xml:space="preserve"> στο πλαίσιο του </w:t>
      </w:r>
      <w:r w:rsidR="00365E46" w:rsidRPr="005C1827">
        <w:t xml:space="preserve">κανονισμού </w:t>
      </w:r>
      <w:r w:rsidRPr="005C1827">
        <w:t>InvestEU, σύμφωνα με τα κριτήρια για την ανθεκτικότητα έναντι της κλιματικής αλλαγής και την κλιματική ουδετερότητα, όπως περιγράφεται στο έγγραφο τεχνικής καθοδήγησης  σχετικά τον έλεγχο βιωσιμότητας για το ταμείο InvestEU</w:t>
      </w:r>
      <w:r w:rsidR="00FC4620" w:rsidRPr="005C1827">
        <w:rPr>
          <w:rStyle w:val="a5"/>
        </w:rPr>
        <w:footnoteReference w:id="4"/>
      </w:r>
      <w:r w:rsidRPr="005C1827">
        <w:t>.</w:t>
      </w:r>
      <w:r w:rsidR="00365E46" w:rsidRPr="005C1827">
        <w:t xml:space="preserve"> </w:t>
      </w:r>
      <w:r w:rsidRPr="005C1827">
        <w:t xml:space="preserve">Στην περίπτωση αυτή, </w:t>
      </w:r>
      <w:r w:rsidR="00365E46" w:rsidRPr="005C1827">
        <w:t xml:space="preserve">απαιτείται </w:t>
      </w:r>
      <w:r w:rsidRPr="005C1827">
        <w:t xml:space="preserve">η μελέτη συμμόρφωσης του επενδυτικού σχεδίου με την αρχή της «μη πρόκλησης σημαντικής βλάβης (Do No Significant Harm ή DNSH principle)», η οποία έχει εκπονηθεί από εξειδικευμένους συμβούλους / μηχανικούς, </w:t>
      </w:r>
      <w:r w:rsidR="00365E46" w:rsidRPr="005C1827">
        <w:t xml:space="preserve">η οποία </w:t>
      </w:r>
      <w:r w:rsidRPr="005C1827">
        <w:t>πρέπει να περιλαμβάνει την περίληψη του ελέγχου βιωσιμότητας.</w:t>
      </w:r>
    </w:p>
    <w:p w14:paraId="7C27CF96" w14:textId="02ECAF0D" w:rsidR="003B4EB2" w:rsidRPr="005C1827" w:rsidRDefault="008D59E2" w:rsidP="008D59E2">
      <w:pPr>
        <w:pStyle w:val="2"/>
        <w:rPr>
          <w:color w:val="auto"/>
        </w:rPr>
      </w:pPr>
      <w:bookmarkStart w:id="7" w:name="_Toc83050011"/>
      <w:r w:rsidRPr="005C1827">
        <w:rPr>
          <w:color w:val="auto"/>
        </w:rPr>
        <w:t xml:space="preserve">Αξιολόγηση επιλεξιμότητας </w:t>
      </w:r>
      <w:r w:rsidR="00D03459" w:rsidRPr="005C1827">
        <w:rPr>
          <w:color w:val="auto"/>
        </w:rPr>
        <w:t>επενδυτικού σχεδίου</w:t>
      </w:r>
      <w:r w:rsidRPr="005C1827">
        <w:rPr>
          <w:color w:val="auto"/>
        </w:rPr>
        <w:t xml:space="preserve"> με τους στόχους του ΕΣΑΑ και καθορισμός του ύψους του δανείου ΤΑΑ</w:t>
      </w:r>
      <w:bookmarkEnd w:id="7"/>
    </w:p>
    <w:p w14:paraId="6A6E2887" w14:textId="0C4AA521" w:rsidR="001268E3" w:rsidRPr="005C1827" w:rsidRDefault="001268E3" w:rsidP="001268E3">
      <w:r w:rsidRPr="005C1827">
        <w:t xml:space="preserve">Το ύψος της χρηματοδότησης του </w:t>
      </w:r>
      <w:r w:rsidR="00D03459" w:rsidRPr="005C1827">
        <w:t>επενδυτικού σχεδίου</w:t>
      </w:r>
      <w:r w:rsidRPr="005C1827">
        <w:t xml:space="preserve"> από το δάνειο του ΤΑΑ υπολογίζεται σύμφωνα με την ύπαρξη προϋπολογισμού επιλέξιμων επενδυτικών δαπανών στους 5 πυλώνες του δανειακού προγράμματος του ΤΑΑ καθώς και την κάλυψη συγκεκριμένων κριτηρίων ανά πυλώνα, σύμφωνα με την σχετική Υπουργική Απόφαση).</w:t>
      </w:r>
    </w:p>
    <w:tbl>
      <w:tblPr>
        <w:tblW w:w="9353"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ayout w:type="fixed"/>
        <w:tblLook w:val="04A0" w:firstRow="1" w:lastRow="0" w:firstColumn="1" w:lastColumn="0" w:noHBand="0" w:noVBand="1"/>
      </w:tblPr>
      <w:tblGrid>
        <w:gridCol w:w="6801"/>
        <w:gridCol w:w="851"/>
        <w:gridCol w:w="425"/>
        <w:gridCol w:w="425"/>
        <w:gridCol w:w="851"/>
      </w:tblGrid>
      <w:tr w:rsidR="001268E3" w:rsidRPr="005C1827" w14:paraId="1F4F4C50" w14:textId="77777777" w:rsidTr="00DA5EC6">
        <w:trPr>
          <w:trHeight w:val="300"/>
        </w:trPr>
        <w:tc>
          <w:tcPr>
            <w:tcW w:w="9353" w:type="dxa"/>
            <w:gridSpan w:val="5"/>
            <w:shd w:val="clear" w:color="auto" w:fill="auto"/>
            <w:vAlign w:val="center"/>
            <w:hideMark/>
          </w:tcPr>
          <w:p w14:paraId="1F15B862" w14:textId="4B758F18" w:rsidR="001268E3" w:rsidRPr="005C1827" w:rsidRDefault="001268E3" w:rsidP="00AB23B8">
            <w:pPr>
              <w:spacing w:before="0" w:after="0" w:line="240" w:lineRule="auto"/>
              <w:rPr>
                <w:rFonts w:eastAsia="Times New Roman" w:cstheme="minorHAnsi"/>
                <w:b/>
                <w:bCs/>
                <w:sz w:val="18"/>
                <w:szCs w:val="18"/>
              </w:rPr>
            </w:pPr>
            <w:r w:rsidRPr="005C1827">
              <w:rPr>
                <w:rFonts w:eastAsia="Times New Roman" w:cstheme="minorHAnsi"/>
                <w:b/>
                <w:bCs/>
                <w:sz w:val="18"/>
                <w:szCs w:val="18"/>
              </w:rPr>
              <w:t xml:space="preserve">Α </w:t>
            </w:r>
            <w:r w:rsidR="00314096" w:rsidRPr="005C1827">
              <w:rPr>
                <w:rFonts w:eastAsia="Times New Roman" w:cstheme="minorHAnsi"/>
                <w:b/>
                <w:bCs/>
                <w:sz w:val="18"/>
                <w:szCs w:val="18"/>
              </w:rPr>
              <w:t>–</w:t>
            </w:r>
            <w:r w:rsidRPr="005C1827">
              <w:rPr>
                <w:rFonts w:eastAsia="Times New Roman" w:cstheme="minorHAnsi"/>
                <w:b/>
                <w:bCs/>
                <w:sz w:val="18"/>
                <w:szCs w:val="18"/>
              </w:rPr>
              <w:t xml:space="preserve"> </w:t>
            </w:r>
            <w:r w:rsidR="00314096" w:rsidRPr="005C1827">
              <w:rPr>
                <w:rFonts w:eastAsia="Times New Roman" w:cstheme="minorHAnsi"/>
                <w:b/>
                <w:bCs/>
                <w:sz w:val="18"/>
                <w:szCs w:val="18"/>
              </w:rPr>
              <w:t xml:space="preserve">Επενδυτικά </w:t>
            </w:r>
            <w:r w:rsidR="00AB23B8" w:rsidRPr="005C1827">
              <w:rPr>
                <w:rFonts w:eastAsia="Times New Roman" w:cstheme="minorHAnsi"/>
                <w:b/>
                <w:bCs/>
                <w:sz w:val="18"/>
                <w:szCs w:val="18"/>
              </w:rPr>
              <w:t>σ</w:t>
            </w:r>
            <w:r w:rsidR="00314096" w:rsidRPr="005C1827">
              <w:rPr>
                <w:rFonts w:eastAsia="Times New Roman" w:cstheme="minorHAnsi"/>
                <w:b/>
                <w:bCs/>
                <w:sz w:val="18"/>
                <w:szCs w:val="18"/>
              </w:rPr>
              <w:t>χέδια</w:t>
            </w:r>
            <w:r w:rsidRPr="005C1827">
              <w:rPr>
                <w:rFonts w:eastAsia="Times New Roman" w:cstheme="minorHAnsi"/>
                <w:b/>
                <w:bCs/>
                <w:sz w:val="18"/>
                <w:szCs w:val="18"/>
              </w:rPr>
              <w:t xml:space="preserve"> </w:t>
            </w:r>
            <w:r w:rsidR="00AB23B8" w:rsidRPr="005C1827">
              <w:rPr>
                <w:rFonts w:eastAsia="Times New Roman" w:cstheme="minorHAnsi"/>
                <w:b/>
                <w:bCs/>
                <w:sz w:val="18"/>
                <w:szCs w:val="18"/>
              </w:rPr>
              <w:t>π</w:t>
            </w:r>
            <w:r w:rsidRPr="005C1827">
              <w:rPr>
                <w:rFonts w:eastAsia="Times New Roman" w:cstheme="minorHAnsi"/>
                <w:b/>
                <w:bCs/>
                <w:sz w:val="18"/>
                <w:szCs w:val="18"/>
              </w:rPr>
              <w:t xml:space="preserve">ράσινης </w:t>
            </w:r>
            <w:r w:rsidR="00AB23B8" w:rsidRPr="005C1827">
              <w:rPr>
                <w:rFonts w:eastAsia="Times New Roman" w:cstheme="minorHAnsi"/>
                <w:b/>
                <w:bCs/>
                <w:sz w:val="18"/>
                <w:szCs w:val="18"/>
              </w:rPr>
              <w:t>μ</w:t>
            </w:r>
            <w:r w:rsidRPr="005C1827">
              <w:rPr>
                <w:rFonts w:eastAsia="Times New Roman" w:cstheme="minorHAnsi"/>
                <w:b/>
                <w:bCs/>
                <w:sz w:val="18"/>
                <w:szCs w:val="18"/>
              </w:rPr>
              <w:t>ετάβασης</w:t>
            </w:r>
          </w:p>
        </w:tc>
      </w:tr>
      <w:tr w:rsidR="001268E3" w:rsidRPr="005C1827" w14:paraId="74D6D66D" w14:textId="77777777" w:rsidTr="00DA5EC6">
        <w:trPr>
          <w:trHeight w:val="300"/>
        </w:trPr>
        <w:tc>
          <w:tcPr>
            <w:tcW w:w="9353" w:type="dxa"/>
            <w:gridSpan w:val="5"/>
            <w:shd w:val="clear" w:color="auto" w:fill="auto"/>
            <w:vAlign w:val="center"/>
            <w:hideMark/>
          </w:tcPr>
          <w:p w14:paraId="402F6231" w14:textId="4F4536FE" w:rsidR="001268E3" w:rsidRPr="005C1827" w:rsidRDefault="001268E3" w:rsidP="00392AE8">
            <w:pPr>
              <w:spacing w:before="0" w:after="0" w:line="240" w:lineRule="auto"/>
              <w:rPr>
                <w:rFonts w:eastAsia="Times New Roman" w:cstheme="minorHAnsi"/>
                <w:sz w:val="18"/>
                <w:szCs w:val="18"/>
              </w:rPr>
            </w:pPr>
            <w:r w:rsidRPr="005C1827">
              <w:rPr>
                <w:rFonts w:eastAsia="Times New Roman" w:cstheme="minorHAnsi"/>
                <w:sz w:val="18"/>
                <w:szCs w:val="18"/>
              </w:rPr>
              <w:t xml:space="preserve">Ύπαρξη προϋπολογισμού επενδύσεων πράσινης μετάβασης, οι οποίες συνεισφέρουν στους πράσινους στόχους (green tagging) του ΕΣΑΑ, τουλάχιστον στο 40% του συνολικού προϋπολογισμού του </w:t>
            </w:r>
            <w:r w:rsidR="00392AE8" w:rsidRPr="005C1827">
              <w:rPr>
                <w:rFonts w:eastAsia="Times New Roman" w:cstheme="minorHAnsi"/>
                <w:sz w:val="18"/>
                <w:szCs w:val="18"/>
              </w:rPr>
              <w:t>επενδυτικού σχεδίου</w:t>
            </w:r>
          </w:p>
        </w:tc>
      </w:tr>
      <w:tr w:rsidR="001268E3" w:rsidRPr="005C1827" w14:paraId="019F98A9" w14:textId="77777777" w:rsidTr="00DA5EC6">
        <w:trPr>
          <w:trHeight w:val="300"/>
        </w:trPr>
        <w:tc>
          <w:tcPr>
            <w:tcW w:w="6801" w:type="dxa"/>
            <w:shd w:val="clear" w:color="auto" w:fill="auto"/>
            <w:noWrap/>
            <w:vAlign w:val="center"/>
            <w:hideMark/>
          </w:tcPr>
          <w:p w14:paraId="70ED11A0" w14:textId="20B3B7B9" w:rsidR="001268E3" w:rsidRPr="005C1827" w:rsidRDefault="001268E3" w:rsidP="00DA5EC6">
            <w:pPr>
              <w:spacing w:before="0" w:after="0" w:line="240" w:lineRule="auto"/>
              <w:rPr>
                <w:rFonts w:eastAsia="Times New Roman" w:cstheme="minorHAnsi"/>
                <w:sz w:val="18"/>
                <w:szCs w:val="18"/>
              </w:rPr>
            </w:pPr>
            <w:r w:rsidRPr="005C1827">
              <w:rPr>
                <w:rFonts w:eastAsia="Times New Roman" w:cstheme="minorHAnsi"/>
                <w:sz w:val="18"/>
                <w:szCs w:val="18"/>
              </w:rPr>
              <w:t>Ελάχιστος προϋπολογισμός επενδύσεων πράσινης μετάβασης, οι οποίες συνεισφέρουν στους πράσινους στόχους (green tagging) του ΕΣΑΑ, ως ποσοστό του</w:t>
            </w:r>
            <w:r w:rsidR="00480D18" w:rsidRPr="005C1827">
              <w:rPr>
                <w:rFonts w:eastAsia="Times New Roman" w:cstheme="minorHAnsi"/>
                <w:sz w:val="18"/>
                <w:szCs w:val="18"/>
              </w:rPr>
              <w:t xml:space="preserve"> συνολικού προϋπολογισμού του επενδυτικού σχεδίου</w:t>
            </w:r>
          </w:p>
        </w:tc>
        <w:tc>
          <w:tcPr>
            <w:tcW w:w="851" w:type="dxa"/>
            <w:shd w:val="clear" w:color="auto" w:fill="auto"/>
            <w:vAlign w:val="center"/>
            <w:hideMark/>
          </w:tcPr>
          <w:p w14:paraId="51CA150B" w14:textId="77777777" w:rsidR="001268E3" w:rsidRPr="005C1827" w:rsidRDefault="001268E3" w:rsidP="00DA5EC6">
            <w:pPr>
              <w:spacing w:before="0" w:after="0" w:line="240" w:lineRule="auto"/>
              <w:jc w:val="center"/>
              <w:rPr>
                <w:rFonts w:eastAsia="Times New Roman" w:cstheme="minorHAnsi"/>
                <w:sz w:val="18"/>
                <w:szCs w:val="18"/>
              </w:rPr>
            </w:pPr>
            <w:r w:rsidRPr="005C1827">
              <w:rPr>
                <w:rFonts w:eastAsia="Times New Roman" w:cstheme="minorHAnsi"/>
                <w:sz w:val="18"/>
                <w:szCs w:val="18"/>
              </w:rPr>
              <w:t>40% </w:t>
            </w:r>
          </w:p>
        </w:tc>
        <w:tc>
          <w:tcPr>
            <w:tcW w:w="850" w:type="dxa"/>
            <w:gridSpan w:val="2"/>
            <w:shd w:val="clear" w:color="auto" w:fill="auto"/>
            <w:vAlign w:val="center"/>
            <w:hideMark/>
          </w:tcPr>
          <w:p w14:paraId="509632D1" w14:textId="77777777" w:rsidR="001268E3" w:rsidRPr="005C1827" w:rsidRDefault="001268E3" w:rsidP="00DA5EC6">
            <w:pPr>
              <w:spacing w:before="0" w:after="0" w:line="240" w:lineRule="auto"/>
              <w:jc w:val="center"/>
              <w:rPr>
                <w:rFonts w:eastAsia="Times New Roman" w:cstheme="minorHAnsi"/>
                <w:sz w:val="18"/>
                <w:szCs w:val="18"/>
              </w:rPr>
            </w:pPr>
            <w:r w:rsidRPr="005C1827">
              <w:rPr>
                <w:rFonts w:eastAsia="Times New Roman" w:cstheme="minorHAnsi"/>
                <w:sz w:val="18"/>
                <w:szCs w:val="18"/>
              </w:rPr>
              <w:t>70%</w:t>
            </w:r>
          </w:p>
        </w:tc>
        <w:tc>
          <w:tcPr>
            <w:tcW w:w="851" w:type="dxa"/>
            <w:shd w:val="clear" w:color="auto" w:fill="auto"/>
            <w:vAlign w:val="center"/>
            <w:hideMark/>
          </w:tcPr>
          <w:p w14:paraId="2D286461" w14:textId="77777777" w:rsidR="001268E3" w:rsidRPr="005C1827" w:rsidRDefault="001268E3" w:rsidP="00DA5EC6">
            <w:pPr>
              <w:spacing w:before="0" w:after="0" w:line="240" w:lineRule="auto"/>
              <w:jc w:val="center"/>
              <w:rPr>
                <w:rFonts w:eastAsia="Times New Roman" w:cstheme="minorHAnsi"/>
                <w:sz w:val="18"/>
                <w:szCs w:val="18"/>
              </w:rPr>
            </w:pPr>
            <w:r w:rsidRPr="005C1827">
              <w:rPr>
                <w:rFonts w:eastAsia="Times New Roman" w:cstheme="minorHAnsi"/>
                <w:sz w:val="18"/>
                <w:szCs w:val="18"/>
              </w:rPr>
              <w:t>100%</w:t>
            </w:r>
          </w:p>
        </w:tc>
      </w:tr>
      <w:tr w:rsidR="001268E3" w:rsidRPr="005C1827" w14:paraId="422A4FC7" w14:textId="77777777" w:rsidTr="00DA5EC6">
        <w:trPr>
          <w:trHeight w:val="300"/>
        </w:trPr>
        <w:tc>
          <w:tcPr>
            <w:tcW w:w="6801" w:type="dxa"/>
            <w:shd w:val="clear" w:color="auto" w:fill="auto"/>
            <w:noWrap/>
            <w:vAlign w:val="center"/>
            <w:hideMark/>
          </w:tcPr>
          <w:p w14:paraId="62B04071" w14:textId="3EEA5142" w:rsidR="001268E3" w:rsidRPr="005C1827" w:rsidRDefault="001268E3" w:rsidP="00F6567B">
            <w:pPr>
              <w:spacing w:before="0" w:after="0" w:line="240" w:lineRule="auto"/>
              <w:rPr>
                <w:rFonts w:eastAsia="Times New Roman" w:cstheme="minorHAnsi"/>
                <w:sz w:val="18"/>
                <w:szCs w:val="18"/>
              </w:rPr>
            </w:pPr>
            <w:r w:rsidRPr="005C1827">
              <w:rPr>
                <w:rFonts w:eastAsia="Times New Roman" w:cstheme="minorHAnsi"/>
                <w:sz w:val="18"/>
                <w:szCs w:val="18"/>
              </w:rPr>
              <w:t xml:space="preserve">Αντίστοιχη ποσόστωση δανείου ΤΑΑ επί του προϋπολογισμού του </w:t>
            </w:r>
            <w:r w:rsidR="00F6567B" w:rsidRPr="005C1827">
              <w:rPr>
                <w:rFonts w:eastAsia="Times New Roman" w:cstheme="minorHAnsi"/>
                <w:sz w:val="18"/>
                <w:szCs w:val="18"/>
              </w:rPr>
              <w:t>επενδυτικού σχεδίου</w:t>
            </w:r>
          </w:p>
        </w:tc>
        <w:tc>
          <w:tcPr>
            <w:tcW w:w="851" w:type="dxa"/>
            <w:shd w:val="clear" w:color="auto" w:fill="auto"/>
            <w:noWrap/>
            <w:vAlign w:val="center"/>
            <w:hideMark/>
          </w:tcPr>
          <w:p w14:paraId="1EA51FF9" w14:textId="77777777" w:rsidR="001268E3" w:rsidRPr="005C1827" w:rsidRDefault="001268E3" w:rsidP="00DA5EC6">
            <w:pPr>
              <w:spacing w:before="0" w:after="0" w:line="240" w:lineRule="auto"/>
              <w:jc w:val="center"/>
              <w:rPr>
                <w:rFonts w:eastAsia="Times New Roman" w:cstheme="minorHAnsi"/>
                <w:sz w:val="18"/>
                <w:szCs w:val="18"/>
              </w:rPr>
            </w:pPr>
            <w:r w:rsidRPr="005C1827">
              <w:rPr>
                <w:rFonts w:eastAsia="Times New Roman" w:cstheme="minorHAnsi"/>
                <w:sz w:val="18"/>
                <w:szCs w:val="18"/>
              </w:rPr>
              <w:t>30%</w:t>
            </w:r>
          </w:p>
        </w:tc>
        <w:tc>
          <w:tcPr>
            <w:tcW w:w="850" w:type="dxa"/>
            <w:gridSpan w:val="2"/>
            <w:shd w:val="clear" w:color="auto" w:fill="auto"/>
            <w:noWrap/>
            <w:vAlign w:val="center"/>
            <w:hideMark/>
          </w:tcPr>
          <w:p w14:paraId="3FC84822" w14:textId="77777777" w:rsidR="001268E3" w:rsidRPr="005C1827" w:rsidRDefault="001268E3" w:rsidP="00DA5EC6">
            <w:pPr>
              <w:spacing w:before="0" w:after="0" w:line="240" w:lineRule="auto"/>
              <w:jc w:val="center"/>
              <w:rPr>
                <w:rFonts w:eastAsia="Times New Roman" w:cstheme="minorHAnsi"/>
                <w:sz w:val="18"/>
                <w:szCs w:val="18"/>
              </w:rPr>
            </w:pPr>
            <w:r w:rsidRPr="005C1827">
              <w:rPr>
                <w:rFonts w:eastAsia="Times New Roman" w:cstheme="minorHAnsi"/>
                <w:sz w:val="18"/>
                <w:szCs w:val="18"/>
              </w:rPr>
              <w:t>40%</w:t>
            </w:r>
          </w:p>
        </w:tc>
        <w:tc>
          <w:tcPr>
            <w:tcW w:w="851" w:type="dxa"/>
            <w:shd w:val="clear" w:color="auto" w:fill="auto"/>
            <w:noWrap/>
            <w:vAlign w:val="center"/>
            <w:hideMark/>
          </w:tcPr>
          <w:p w14:paraId="01840E6E" w14:textId="77777777" w:rsidR="001268E3" w:rsidRPr="005C1827" w:rsidRDefault="001268E3" w:rsidP="00DA5EC6">
            <w:pPr>
              <w:spacing w:before="0" w:after="0" w:line="240" w:lineRule="auto"/>
              <w:jc w:val="center"/>
              <w:rPr>
                <w:rFonts w:eastAsia="Times New Roman" w:cstheme="minorHAnsi"/>
                <w:sz w:val="18"/>
                <w:szCs w:val="18"/>
              </w:rPr>
            </w:pPr>
            <w:r w:rsidRPr="005C1827">
              <w:rPr>
                <w:rFonts w:eastAsia="Times New Roman" w:cstheme="minorHAnsi"/>
                <w:sz w:val="18"/>
                <w:szCs w:val="18"/>
              </w:rPr>
              <w:t>50%</w:t>
            </w:r>
          </w:p>
        </w:tc>
      </w:tr>
      <w:tr w:rsidR="001268E3" w:rsidRPr="005C1827" w14:paraId="6ECDE22F" w14:textId="77777777" w:rsidTr="00DA5EC6">
        <w:trPr>
          <w:trHeight w:val="300"/>
        </w:trPr>
        <w:tc>
          <w:tcPr>
            <w:tcW w:w="9353" w:type="dxa"/>
            <w:gridSpan w:val="5"/>
            <w:shd w:val="clear" w:color="auto" w:fill="auto"/>
            <w:vAlign w:val="center"/>
            <w:hideMark/>
          </w:tcPr>
          <w:p w14:paraId="6C435983" w14:textId="08A4F5DE" w:rsidR="001268E3" w:rsidRPr="005C1827" w:rsidRDefault="001268E3" w:rsidP="00DA5EC6">
            <w:pPr>
              <w:spacing w:before="0" w:after="0" w:line="240" w:lineRule="auto"/>
              <w:rPr>
                <w:rFonts w:eastAsia="Times New Roman" w:cstheme="minorHAnsi"/>
                <w:b/>
                <w:bCs/>
                <w:sz w:val="18"/>
                <w:szCs w:val="18"/>
              </w:rPr>
            </w:pPr>
            <w:r w:rsidRPr="005C1827">
              <w:rPr>
                <w:rFonts w:eastAsia="Times New Roman" w:cstheme="minorHAnsi"/>
                <w:b/>
                <w:bCs/>
                <w:sz w:val="18"/>
                <w:szCs w:val="18"/>
              </w:rPr>
              <w:t xml:space="preserve">Β - </w:t>
            </w:r>
            <w:r w:rsidR="00314096" w:rsidRPr="005C1827">
              <w:rPr>
                <w:rFonts w:eastAsia="Times New Roman" w:cstheme="minorHAnsi"/>
                <w:b/>
                <w:bCs/>
                <w:sz w:val="18"/>
                <w:szCs w:val="18"/>
              </w:rPr>
              <w:t xml:space="preserve">Επενδυτικά </w:t>
            </w:r>
            <w:r w:rsidR="00AB23B8" w:rsidRPr="005C1827">
              <w:rPr>
                <w:rFonts w:eastAsia="Times New Roman" w:cstheme="minorHAnsi"/>
                <w:b/>
                <w:bCs/>
                <w:sz w:val="18"/>
                <w:szCs w:val="18"/>
              </w:rPr>
              <w:t>σ</w:t>
            </w:r>
            <w:r w:rsidR="00314096" w:rsidRPr="005C1827">
              <w:rPr>
                <w:rFonts w:eastAsia="Times New Roman" w:cstheme="minorHAnsi"/>
                <w:b/>
                <w:bCs/>
                <w:sz w:val="18"/>
                <w:szCs w:val="18"/>
              </w:rPr>
              <w:t xml:space="preserve">χέδια </w:t>
            </w:r>
            <w:r w:rsidR="00AB23B8" w:rsidRPr="005C1827">
              <w:rPr>
                <w:rFonts w:eastAsia="Times New Roman" w:cstheme="minorHAnsi"/>
                <w:b/>
                <w:bCs/>
                <w:sz w:val="18"/>
                <w:szCs w:val="18"/>
              </w:rPr>
              <w:t>ψηφιακού μ</w:t>
            </w:r>
            <w:r w:rsidRPr="005C1827">
              <w:rPr>
                <w:rFonts w:eastAsia="Times New Roman" w:cstheme="minorHAnsi"/>
                <w:b/>
                <w:bCs/>
                <w:sz w:val="18"/>
                <w:szCs w:val="18"/>
              </w:rPr>
              <w:t>ετασχηματισμού</w:t>
            </w:r>
          </w:p>
        </w:tc>
      </w:tr>
      <w:tr w:rsidR="001268E3" w:rsidRPr="005C1827" w14:paraId="07907168" w14:textId="77777777" w:rsidTr="00DA5EC6">
        <w:trPr>
          <w:trHeight w:val="564"/>
        </w:trPr>
        <w:tc>
          <w:tcPr>
            <w:tcW w:w="9353" w:type="dxa"/>
            <w:gridSpan w:val="5"/>
            <w:shd w:val="clear" w:color="auto" w:fill="auto"/>
            <w:vAlign w:val="center"/>
            <w:hideMark/>
          </w:tcPr>
          <w:p w14:paraId="6B6B1EFB" w14:textId="4A7C5E21" w:rsidR="001268E3" w:rsidRPr="005C1827" w:rsidRDefault="001268E3" w:rsidP="00392AE8">
            <w:pPr>
              <w:spacing w:before="0" w:after="0" w:line="240" w:lineRule="auto"/>
              <w:rPr>
                <w:rFonts w:eastAsia="Times New Roman" w:cstheme="minorHAnsi"/>
                <w:sz w:val="18"/>
                <w:szCs w:val="18"/>
              </w:rPr>
            </w:pPr>
            <w:r w:rsidRPr="005C1827">
              <w:rPr>
                <w:rFonts w:eastAsia="Times New Roman" w:cstheme="minorHAnsi"/>
                <w:sz w:val="18"/>
                <w:szCs w:val="18"/>
              </w:rPr>
              <w:t xml:space="preserve">Ύπαρξη προϋπολογισμού επενδύσεων ψηφιακού μετασχηματισμού, οι οποίες συνεισφέρουν στους ψηφιακούς στόχους (digital tagging) του ΕΣΑΑ, τουλάχιστον στο 20% του συνολικού προϋπολογισμού του </w:t>
            </w:r>
            <w:r w:rsidR="00392AE8" w:rsidRPr="005C1827">
              <w:rPr>
                <w:rFonts w:eastAsia="Times New Roman" w:cstheme="minorHAnsi"/>
                <w:sz w:val="18"/>
                <w:szCs w:val="18"/>
              </w:rPr>
              <w:t>επενδυτικού σχεδίου</w:t>
            </w:r>
          </w:p>
        </w:tc>
      </w:tr>
      <w:tr w:rsidR="001268E3" w:rsidRPr="005C1827" w14:paraId="15AE697C" w14:textId="77777777" w:rsidTr="00DA5EC6">
        <w:trPr>
          <w:trHeight w:val="300"/>
        </w:trPr>
        <w:tc>
          <w:tcPr>
            <w:tcW w:w="6801" w:type="dxa"/>
            <w:shd w:val="clear" w:color="auto" w:fill="auto"/>
            <w:noWrap/>
            <w:vAlign w:val="center"/>
            <w:hideMark/>
          </w:tcPr>
          <w:p w14:paraId="4B5B5DC0" w14:textId="55CB7EAD" w:rsidR="001268E3" w:rsidRPr="005C1827" w:rsidRDefault="001268E3" w:rsidP="00F6567B">
            <w:pPr>
              <w:spacing w:before="0" w:after="0" w:line="240" w:lineRule="auto"/>
              <w:rPr>
                <w:rFonts w:eastAsia="Times New Roman" w:cstheme="minorHAnsi"/>
                <w:sz w:val="18"/>
                <w:szCs w:val="18"/>
              </w:rPr>
            </w:pPr>
            <w:r w:rsidRPr="005C1827">
              <w:rPr>
                <w:rFonts w:eastAsia="Times New Roman" w:cstheme="minorHAnsi"/>
                <w:sz w:val="18"/>
                <w:szCs w:val="18"/>
              </w:rPr>
              <w:t xml:space="preserve">Ελάχιστος προϋπολογισμός επενδύσεων ψηφιακού μετασχηματισμού, οι οποίες συνεισφέρουν στους ψηφιακούς στόχους (digital tagging) του ΕΣΑΑ, ως ποσοστό του συνολικού προϋπολογισμού του </w:t>
            </w:r>
            <w:r w:rsidR="00F6567B" w:rsidRPr="005C1827">
              <w:rPr>
                <w:rFonts w:eastAsia="Times New Roman" w:cstheme="minorHAnsi"/>
                <w:sz w:val="18"/>
                <w:szCs w:val="18"/>
              </w:rPr>
              <w:t>επενδυτικού σχεδίου</w:t>
            </w:r>
          </w:p>
        </w:tc>
        <w:tc>
          <w:tcPr>
            <w:tcW w:w="851" w:type="dxa"/>
            <w:shd w:val="clear" w:color="auto" w:fill="auto"/>
            <w:vAlign w:val="center"/>
            <w:hideMark/>
          </w:tcPr>
          <w:p w14:paraId="0B2866B8" w14:textId="77777777" w:rsidR="001268E3" w:rsidRPr="005C1827" w:rsidRDefault="001268E3" w:rsidP="00DA5EC6">
            <w:pPr>
              <w:spacing w:before="0" w:after="0" w:line="240" w:lineRule="auto"/>
              <w:jc w:val="center"/>
              <w:rPr>
                <w:rFonts w:eastAsia="Times New Roman" w:cstheme="minorHAnsi"/>
                <w:sz w:val="18"/>
                <w:szCs w:val="18"/>
              </w:rPr>
            </w:pPr>
            <w:r w:rsidRPr="005C1827">
              <w:rPr>
                <w:rFonts w:eastAsia="Times New Roman" w:cstheme="minorHAnsi"/>
                <w:sz w:val="18"/>
                <w:szCs w:val="18"/>
              </w:rPr>
              <w:t>20%</w:t>
            </w:r>
          </w:p>
        </w:tc>
        <w:tc>
          <w:tcPr>
            <w:tcW w:w="850" w:type="dxa"/>
            <w:gridSpan w:val="2"/>
            <w:shd w:val="clear" w:color="auto" w:fill="auto"/>
            <w:vAlign w:val="center"/>
            <w:hideMark/>
          </w:tcPr>
          <w:p w14:paraId="27F95DC3" w14:textId="77777777" w:rsidR="001268E3" w:rsidRPr="005C1827" w:rsidRDefault="001268E3" w:rsidP="00DA5EC6">
            <w:pPr>
              <w:spacing w:before="0" w:after="0" w:line="240" w:lineRule="auto"/>
              <w:jc w:val="center"/>
              <w:rPr>
                <w:rFonts w:eastAsia="Times New Roman" w:cstheme="minorHAnsi"/>
                <w:sz w:val="18"/>
                <w:szCs w:val="18"/>
              </w:rPr>
            </w:pPr>
            <w:r w:rsidRPr="005C1827">
              <w:rPr>
                <w:rFonts w:eastAsia="Times New Roman" w:cstheme="minorHAnsi"/>
                <w:sz w:val="18"/>
                <w:szCs w:val="18"/>
              </w:rPr>
              <w:t>40%</w:t>
            </w:r>
          </w:p>
        </w:tc>
        <w:tc>
          <w:tcPr>
            <w:tcW w:w="851" w:type="dxa"/>
            <w:shd w:val="clear" w:color="auto" w:fill="auto"/>
            <w:vAlign w:val="center"/>
            <w:hideMark/>
          </w:tcPr>
          <w:p w14:paraId="248ECF2B" w14:textId="77777777" w:rsidR="001268E3" w:rsidRPr="005C1827" w:rsidRDefault="001268E3" w:rsidP="00DA5EC6">
            <w:pPr>
              <w:spacing w:before="0" w:after="0" w:line="240" w:lineRule="auto"/>
              <w:jc w:val="center"/>
              <w:rPr>
                <w:rFonts w:eastAsia="Times New Roman" w:cstheme="minorHAnsi"/>
                <w:sz w:val="18"/>
                <w:szCs w:val="18"/>
              </w:rPr>
            </w:pPr>
            <w:r w:rsidRPr="005C1827">
              <w:rPr>
                <w:rFonts w:eastAsia="Times New Roman" w:cstheme="minorHAnsi"/>
                <w:sz w:val="18"/>
                <w:szCs w:val="18"/>
              </w:rPr>
              <w:t>100%</w:t>
            </w:r>
          </w:p>
        </w:tc>
      </w:tr>
      <w:tr w:rsidR="001268E3" w:rsidRPr="005C1827" w14:paraId="4F208271" w14:textId="77777777" w:rsidTr="00DA5EC6">
        <w:trPr>
          <w:trHeight w:val="300"/>
        </w:trPr>
        <w:tc>
          <w:tcPr>
            <w:tcW w:w="6801" w:type="dxa"/>
            <w:shd w:val="clear" w:color="auto" w:fill="auto"/>
            <w:noWrap/>
            <w:vAlign w:val="center"/>
            <w:hideMark/>
          </w:tcPr>
          <w:p w14:paraId="5F116AC0" w14:textId="3AE46C1F" w:rsidR="001268E3" w:rsidRPr="005C1827" w:rsidRDefault="001268E3" w:rsidP="00F6567B">
            <w:pPr>
              <w:spacing w:before="0" w:after="0" w:line="240" w:lineRule="auto"/>
              <w:rPr>
                <w:rFonts w:eastAsia="Times New Roman" w:cstheme="minorHAnsi"/>
                <w:sz w:val="18"/>
                <w:szCs w:val="18"/>
              </w:rPr>
            </w:pPr>
            <w:r w:rsidRPr="005C1827">
              <w:rPr>
                <w:rFonts w:eastAsia="Times New Roman" w:cstheme="minorHAnsi"/>
                <w:sz w:val="18"/>
                <w:szCs w:val="18"/>
              </w:rPr>
              <w:t xml:space="preserve">Αντίστοιχη ποσόστωση δανείου ΤΑΑ επί του προϋπολογισμού του </w:t>
            </w:r>
            <w:r w:rsidR="00F6567B" w:rsidRPr="005C1827">
              <w:rPr>
                <w:rFonts w:eastAsia="Times New Roman" w:cstheme="minorHAnsi"/>
                <w:sz w:val="18"/>
                <w:szCs w:val="18"/>
              </w:rPr>
              <w:t>επενδυτικού σχεδίου</w:t>
            </w:r>
          </w:p>
        </w:tc>
        <w:tc>
          <w:tcPr>
            <w:tcW w:w="851" w:type="dxa"/>
            <w:shd w:val="clear" w:color="auto" w:fill="auto"/>
            <w:noWrap/>
            <w:vAlign w:val="center"/>
            <w:hideMark/>
          </w:tcPr>
          <w:p w14:paraId="3A392423" w14:textId="77777777" w:rsidR="001268E3" w:rsidRPr="005C1827" w:rsidRDefault="001268E3" w:rsidP="00DA5EC6">
            <w:pPr>
              <w:spacing w:before="0" w:after="0" w:line="240" w:lineRule="auto"/>
              <w:jc w:val="center"/>
              <w:rPr>
                <w:rFonts w:eastAsia="Times New Roman" w:cstheme="minorHAnsi"/>
                <w:sz w:val="18"/>
                <w:szCs w:val="18"/>
              </w:rPr>
            </w:pPr>
            <w:r w:rsidRPr="005C1827">
              <w:rPr>
                <w:rFonts w:eastAsia="Times New Roman" w:cstheme="minorHAnsi"/>
                <w:sz w:val="18"/>
                <w:szCs w:val="18"/>
              </w:rPr>
              <w:t>30%</w:t>
            </w:r>
          </w:p>
        </w:tc>
        <w:tc>
          <w:tcPr>
            <w:tcW w:w="850" w:type="dxa"/>
            <w:gridSpan w:val="2"/>
            <w:shd w:val="clear" w:color="auto" w:fill="auto"/>
            <w:noWrap/>
            <w:vAlign w:val="center"/>
            <w:hideMark/>
          </w:tcPr>
          <w:p w14:paraId="3D2C2B21" w14:textId="77777777" w:rsidR="001268E3" w:rsidRPr="005C1827" w:rsidRDefault="001268E3" w:rsidP="00DA5EC6">
            <w:pPr>
              <w:spacing w:before="0" w:after="0" w:line="240" w:lineRule="auto"/>
              <w:jc w:val="center"/>
              <w:rPr>
                <w:rFonts w:eastAsia="Times New Roman" w:cstheme="minorHAnsi"/>
                <w:sz w:val="18"/>
                <w:szCs w:val="18"/>
              </w:rPr>
            </w:pPr>
            <w:r w:rsidRPr="005C1827">
              <w:rPr>
                <w:rFonts w:eastAsia="Times New Roman" w:cstheme="minorHAnsi"/>
                <w:sz w:val="18"/>
                <w:szCs w:val="18"/>
              </w:rPr>
              <w:t>40%</w:t>
            </w:r>
          </w:p>
        </w:tc>
        <w:tc>
          <w:tcPr>
            <w:tcW w:w="851" w:type="dxa"/>
            <w:shd w:val="clear" w:color="auto" w:fill="auto"/>
            <w:noWrap/>
            <w:vAlign w:val="center"/>
            <w:hideMark/>
          </w:tcPr>
          <w:p w14:paraId="627F77B7" w14:textId="77777777" w:rsidR="001268E3" w:rsidRPr="005C1827" w:rsidRDefault="001268E3" w:rsidP="00DA5EC6">
            <w:pPr>
              <w:spacing w:before="0" w:after="0" w:line="240" w:lineRule="auto"/>
              <w:jc w:val="center"/>
              <w:rPr>
                <w:rFonts w:eastAsia="Times New Roman" w:cstheme="minorHAnsi"/>
                <w:sz w:val="18"/>
                <w:szCs w:val="18"/>
              </w:rPr>
            </w:pPr>
            <w:r w:rsidRPr="005C1827">
              <w:rPr>
                <w:rFonts w:eastAsia="Times New Roman" w:cstheme="minorHAnsi"/>
                <w:sz w:val="18"/>
                <w:szCs w:val="18"/>
              </w:rPr>
              <w:t>50%</w:t>
            </w:r>
          </w:p>
        </w:tc>
      </w:tr>
      <w:tr w:rsidR="001268E3" w:rsidRPr="005C1827" w14:paraId="0221D49F" w14:textId="77777777" w:rsidTr="00DA5EC6">
        <w:trPr>
          <w:trHeight w:val="300"/>
        </w:trPr>
        <w:tc>
          <w:tcPr>
            <w:tcW w:w="9353" w:type="dxa"/>
            <w:gridSpan w:val="5"/>
            <w:shd w:val="clear" w:color="auto" w:fill="auto"/>
            <w:vAlign w:val="center"/>
            <w:hideMark/>
          </w:tcPr>
          <w:p w14:paraId="2D391686" w14:textId="77483EF2" w:rsidR="001268E3" w:rsidRPr="005C1827" w:rsidRDefault="001268E3" w:rsidP="00AB23B8">
            <w:pPr>
              <w:spacing w:before="0" w:after="0" w:line="240" w:lineRule="auto"/>
              <w:rPr>
                <w:rFonts w:eastAsia="Times New Roman" w:cstheme="minorHAnsi"/>
                <w:b/>
                <w:bCs/>
                <w:sz w:val="18"/>
                <w:szCs w:val="18"/>
              </w:rPr>
            </w:pPr>
            <w:r w:rsidRPr="005C1827">
              <w:rPr>
                <w:rFonts w:eastAsia="Times New Roman" w:cstheme="minorHAnsi"/>
                <w:b/>
                <w:bCs/>
                <w:sz w:val="18"/>
                <w:szCs w:val="18"/>
              </w:rPr>
              <w:t xml:space="preserve">Γ - </w:t>
            </w:r>
            <w:r w:rsidR="00314096" w:rsidRPr="005C1827">
              <w:rPr>
                <w:rFonts w:eastAsia="Times New Roman" w:cstheme="minorHAnsi"/>
                <w:b/>
                <w:bCs/>
                <w:sz w:val="18"/>
                <w:szCs w:val="18"/>
              </w:rPr>
              <w:t xml:space="preserve">Επενδυτικά </w:t>
            </w:r>
            <w:r w:rsidR="00AB23B8" w:rsidRPr="005C1827">
              <w:rPr>
                <w:rFonts w:eastAsia="Times New Roman" w:cstheme="minorHAnsi"/>
                <w:b/>
                <w:bCs/>
                <w:sz w:val="18"/>
                <w:szCs w:val="18"/>
              </w:rPr>
              <w:t>σ</w:t>
            </w:r>
            <w:r w:rsidR="00314096" w:rsidRPr="005C1827">
              <w:rPr>
                <w:rFonts w:eastAsia="Times New Roman" w:cstheme="minorHAnsi"/>
                <w:b/>
                <w:bCs/>
                <w:sz w:val="18"/>
                <w:szCs w:val="18"/>
              </w:rPr>
              <w:t xml:space="preserve">χέδια </w:t>
            </w:r>
            <w:r w:rsidR="00AB23B8" w:rsidRPr="005C1827">
              <w:rPr>
                <w:rFonts w:eastAsia="Times New Roman" w:cstheme="minorHAnsi"/>
                <w:b/>
                <w:bCs/>
                <w:sz w:val="18"/>
                <w:szCs w:val="18"/>
              </w:rPr>
              <w:t>κ</w:t>
            </w:r>
            <w:r w:rsidRPr="005C1827">
              <w:rPr>
                <w:rFonts w:eastAsia="Times New Roman" w:cstheme="minorHAnsi"/>
                <w:b/>
                <w:bCs/>
                <w:sz w:val="18"/>
                <w:szCs w:val="18"/>
              </w:rPr>
              <w:t>αινοτομίας  –</w:t>
            </w:r>
            <w:r w:rsidR="00AB23B8" w:rsidRPr="005C1827">
              <w:rPr>
                <w:rFonts w:eastAsia="Times New Roman" w:cstheme="minorHAnsi"/>
                <w:b/>
                <w:bCs/>
                <w:sz w:val="18"/>
                <w:szCs w:val="18"/>
              </w:rPr>
              <w:t xml:space="preserve"> έρευνας &amp; α</w:t>
            </w:r>
            <w:r w:rsidRPr="005C1827">
              <w:rPr>
                <w:rFonts w:eastAsia="Times New Roman" w:cstheme="minorHAnsi"/>
                <w:b/>
                <w:bCs/>
                <w:sz w:val="18"/>
                <w:szCs w:val="18"/>
              </w:rPr>
              <w:t>νάπτυξης</w:t>
            </w:r>
          </w:p>
        </w:tc>
      </w:tr>
      <w:tr w:rsidR="001268E3" w:rsidRPr="005C1827" w14:paraId="34927F2E" w14:textId="77777777" w:rsidTr="00DA5EC6">
        <w:trPr>
          <w:trHeight w:val="552"/>
        </w:trPr>
        <w:tc>
          <w:tcPr>
            <w:tcW w:w="9353" w:type="dxa"/>
            <w:gridSpan w:val="5"/>
            <w:shd w:val="clear" w:color="auto" w:fill="auto"/>
            <w:vAlign w:val="center"/>
            <w:hideMark/>
          </w:tcPr>
          <w:p w14:paraId="66E6853E" w14:textId="3004F636" w:rsidR="001268E3" w:rsidRPr="005C1827" w:rsidRDefault="001268E3" w:rsidP="00DA5EC6">
            <w:pPr>
              <w:spacing w:before="0" w:after="0" w:line="240" w:lineRule="auto"/>
              <w:rPr>
                <w:rFonts w:eastAsia="Times New Roman" w:cstheme="minorHAnsi"/>
                <w:sz w:val="18"/>
                <w:szCs w:val="18"/>
              </w:rPr>
            </w:pPr>
            <w:r w:rsidRPr="005C1827">
              <w:rPr>
                <w:rFonts w:eastAsia="Times New Roman" w:cstheme="minorHAnsi"/>
                <w:sz w:val="18"/>
                <w:szCs w:val="18"/>
              </w:rPr>
              <w:lastRenderedPageBreak/>
              <w:t>Κάλυψη επιλεξιμότητας ενός τουλάχιστον δείκτη καινοτομίας – έρευνας &amp; ανάπτυξης και ταυτόχρονα ύπαρξη ελάχιστου προϋπολογισμού επενδύσεων καινοτομίας – έρευνας &amp; ανάπτυξης τουλάχιστον στο 20% του</w:t>
            </w:r>
            <w:r w:rsidR="00392AE8" w:rsidRPr="005C1827">
              <w:rPr>
                <w:rFonts w:eastAsia="Times New Roman" w:cstheme="minorHAnsi"/>
                <w:sz w:val="18"/>
                <w:szCs w:val="18"/>
              </w:rPr>
              <w:t xml:space="preserve"> συνολικού προϋπολογισμού του επενδυτικού σχεδίου</w:t>
            </w:r>
          </w:p>
        </w:tc>
      </w:tr>
      <w:tr w:rsidR="001268E3" w:rsidRPr="005C1827" w14:paraId="66D5D504" w14:textId="77777777" w:rsidTr="00DA5EC6">
        <w:trPr>
          <w:trHeight w:val="300"/>
        </w:trPr>
        <w:tc>
          <w:tcPr>
            <w:tcW w:w="6801" w:type="dxa"/>
            <w:shd w:val="clear" w:color="auto" w:fill="auto"/>
            <w:noWrap/>
            <w:vAlign w:val="center"/>
            <w:hideMark/>
          </w:tcPr>
          <w:p w14:paraId="7325E884" w14:textId="3C6D26D6" w:rsidR="001268E3" w:rsidRPr="005C1827" w:rsidRDefault="001268E3" w:rsidP="00F6567B">
            <w:pPr>
              <w:spacing w:before="0" w:after="0" w:line="240" w:lineRule="auto"/>
              <w:rPr>
                <w:rFonts w:eastAsia="Times New Roman" w:cstheme="minorHAnsi"/>
                <w:sz w:val="18"/>
                <w:szCs w:val="18"/>
              </w:rPr>
            </w:pPr>
            <w:r w:rsidRPr="005C1827">
              <w:rPr>
                <w:rFonts w:eastAsia="Times New Roman" w:cstheme="minorHAnsi"/>
                <w:sz w:val="18"/>
                <w:szCs w:val="18"/>
              </w:rPr>
              <w:t xml:space="preserve">Ελάχιστος προϋπολογισμός επενδύσεων καινοτομίας – έρευνας &amp; ανάπτυξης ως ποσοστό του συνολικού προϋπολογισμού του </w:t>
            </w:r>
            <w:r w:rsidR="00F6567B" w:rsidRPr="005C1827">
              <w:rPr>
                <w:rFonts w:eastAsia="Times New Roman" w:cstheme="minorHAnsi"/>
                <w:sz w:val="18"/>
                <w:szCs w:val="18"/>
              </w:rPr>
              <w:t>επενδυτικού σχεδίου</w:t>
            </w:r>
          </w:p>
        </w:tc>
        <w:tc>
          <w:tcPr>
            <w:tcW w:w="851" w:type="dxa"/>
            <w:shd w:val="clear" w:color="auto" w:fill="auto"/>
            <w:vAlign w:val="center"/>
            <w:hideMark/>
          </w:tcPr>
          <w:p w14:paraId="105603DF" w14:textId="77777777" w:rsidR="001268E3" w:rsidRPr="005C1827" w:rsidRDefault="001268E3" w:rsidP="00DA5EC6">
            <w:pPr>
              <w:spacing w:before="0" w:after="0" w:line="240" w:lineRule="auto"/>
              <w:jc w:val="center"/>
              <w:rPr>
                <w:rFonts w:eastAsia="Times New Roman" w:cstheme="minorHAnsi"/>
                <w:sz w:val="18"/>
                <w:szCs w:val="18"/>
              </w:rPr>
            </w:pPr>
            <w:r w:rsidRPr="005C1827">
              <w:rPr>
                <w:rFonts w:eastAsia="Times New Roman" w:cstheme="minorHAnsi"/>
                <w:sz w:val="18"/>
                <w:szCs w:val="18"/>
              </w:rPr>
              <w:t>20%</w:t>
            </w:r>
          </w:p>
        </w:tc>
        <w:tc>
          <w:tcPr>
            <w:tcW w:w="850" w:type="dxa"/>
            <w:gridSpan w:val="2"/>
            <w:shd w:val="clear" w:color="auto" w:fill="auto"/>
            <w:vAlign w:val="center"/>
            <w:hideMark/>
          </w:tcPr>
          <w:p w14:paraId="4EDF357D" w14:textId="77777777" w:rsidR="001268E3" w:rsidRPr="005C1827" w:rsidRDefault="001268E3" w:rsidP="00DA5EC6">
            <w:pPr>
              <w:spacing w:before="0" w:after="0" w:line="240" w:lineRule="auto"/>
              <w:jc w:val="center"/>
              <w:rPr>
                <w:rFonts w:eastAsia="Times New Roman" w:cstheme="minorHAnsi"/>
                <w:sz w:val="18"/>
                <w:szCs w:val="18"/>
              </w:rPr>
            </w:pPr>
            <w:r w:rsidRPr="005C1827">
              <w:rPr>
                <w:rFonts w:eastAsia="Times New Roman" w:cstheme="minorHAnsi"/>
                <w:sz w:val="18"/>
                <w:szCs w:val="18"/>
              </w:rPr>
              <w:t>40%</w:t>
            </w:r>
          </w:p>
        </w:tc>
        <w:tc>
          <w:tcPr>
            <w:tcW w:w="851" w:type="dxa"/>
            <w:shd w:val="clear" w:color="auto" w:fill="auto"/>
            <w:vAlign w:val="center"/>
            <w:hideMark/>
          </w:tcPr>
          <w:p w14:paraId="6413CE15" w14:textId="77777777" w:rsidR="001268E3" w:rsidRPr="005C1827" w:rsidRDefault="001268E3" w:rsidP="00DA5EC6">
            <w:pPr>
              <w:spacing w:before="0" w:after="0" w:line="240" w:lineRule="auto"/>
              <w:jc w:val="center"/>
              <w:rPr>
                <w:rFonts w:eastAsia="Times New Roman" w:cstheme="minorHAnsi"/>
                <w:sz w:val="18"/>
                <w:szCs w:val="18"/>
              </w:rPr>
            </w:pPr>
            <w:r w:rsidRPr="005C1827">
              <w:rPr>
                <w:rFonts w:eastAsia="Times New Roman" w:cstheme="minorHAnsi"/>
                <w:sz w:val="18"/>
                <w:szCs w:val="18"/>
              </w:rPr>
              <w:t>100%</w:t>
            </w:r>
          </w:p>
        </w:tc>
      </w:tr>
      <w:tr w:rsidR="001268E3" w:rsidRPr="005C1827" w14:paraId="7746E366" w14:textId="77777777" w:rsidTr="00DA5EC6">
        <w:trPr>
          <w:trHeight w:val="300"/>
        </w:trPr>
        <w:tc>
          <w:tcPr>
            <w:tcW w:w="6801" w:type="dxa"/>
            <w:shd w:val="clear" w:color="auto" w:fill="auto"/>
            <w:noWrap/>
            <w:vAlign w:val="center"/>
            <w:hideMark/>
          </w:tcPr>
          <w:p w14:paraId="3459EF0B" w14:textId="14D285AA" w:rsidR="001268E3" w:rsidRPr="005C1827" w:rsidRDefault="001268E3" w:rsidP="00222074">
            <w:pPr>
              <w:spacing w:before="0" w:after="0" w:line="240" w:lineRule="auto"/>
              <w:rPr>
                <w:rFonts w:eastAsia="Times New Roman" w:cstheme="minorHAnsi"/>
                <w:sz w:val="18"/>
                <w:szCs w:val="18"/>
              </w:rPr>
            </w:pPr>
            <w:r w:rsidRPr="005C1827">
              <w:rPr>
                <w:rFonts w:eastAsia="Times New Roman" w:cstheme="minorHAnsi"/>
                <w:sz w:val="18"/>
                <w:szCs w:val="18"/>
              </w:rPr>
              <w:t xml:space="preserve">Αντίστοιχη ποσόστωση δανείου ΤΑΑ επί του προϋπολογισμού του </w:t>
            </w:r>
            <w:r w:rsidR="00222074" w:rsidRPr="005C1827">
              <w:rPr>
                <w:rFonts w:eastAsia="Times New Roman" w:cstheme="minorHAnsi"/>
                <w:sz w:val="18"/>
                <w:szCs w:val="18"/>
              </w:rPr>
              <w:t>επενδυτικού σχεδίου</w:t>
            </w:r>
          </w:p>
        </w:tc>
        <w:tc>
          <w:tcPr>
            <w:tcW w:w="851" w:type="dxa"/>
            <w:shd w:val="clear" w:color="auto" w:fill="auto"/>
            <w:vAlign w:val="center"/>
            <w:hideMark/>
          </w:tcPr>
          <w:p w14:paraId="793444BF" w14:textId="77777777" w:rsidR="001268E3" w:rsidRPr="005C1827" w:rsidRDefault="001268E3" w:rsidP="00DA5EC6">
            <w:pPr>
              <w:spacing w:before="0" w:after="0" w:line="240" w:lineRule="auto"/>
              <w:jc w:val="center"/>
              <w:rPr>
                <w:rFonts w:eastAsia="Times New Roman" w:cstheme="minorHAnsi"/>
                <w:sz w:val="18"/>
                <w:szCs w:val="18"/>
              </w:rPr>
            </w:pPr>
            <w:r w:rsidRPr="005C1827">
              <w:rPr>
                <w:rFonts w:eastAsia="Times New Roman" w:cstheme="minorHAnsi"/>
                <w:sz w:val="18"/>
                <w:szCs w:val="18"/>
              </w:rPr>
              <w:t>30%</w:t>
            </w:r>
          </w:p>
        </w:tc>
        <w:tc>
          <w:tcPr>
            <w:tcW w:w="850" w:type="dxa"/>
            <w:gridSpan w:val="2"/>
            <w:shd w:val="clear" w:color="auto" w:fill="auto"/>
            <w:noWrap/>
            <w:vAlign w:val="center"/>
            <w:hideMark/>
          </w:tcPr>
          <w:p w14:paraId="653E45BA" w14:textId="77777777" w:rsidR="001268E3" w:rsidRPr="005C1827" w:rsidRDefault="001268E3" w:rsidP="00DA5EC6">
            <w:pPr>
              <w:spacing w:before="0" w:after="0" w:line="240" w:lineRule="auto"/>
              <w:jc w:val="center"/>
              <w:rPr>
                <w:rFonts w:eastAsia="Times New Roman" w:cstheme="minorHAnsi"/>
                <w:sz w:val="18"/>
                <w:szCs w:val="18"/>
              </w:rPr>
            </w:pPr>
            <w:r w:rsidRPr="005C1827">
              <w:rPr>
                <w:rFonts w:eastAsia="Times New Roman" w:cstheme="minorHAnsi"/>
                <w:sz w:val="18"/>
                <w:szCs w:val="18"/>
              </w:rPr>
              <w:t>40%</w:t>
            </w:r>
          </w:p>
        </w:tc>
        <w:tc>
          <w:tcPr>
            <w:tcW w:w="851" w:type="dxa"/>
            <w:shd w:val="clear" w:color="auto" w:fill="auto"/>
            <w:vAlign w:val="center"/>
            <w:hideMark/>
          </w:tcPr>
          <w:p w14:paraId="2105D19B" w14:textId="77777777" w:rsidR="001268E3" w:rsidRPr="005C1827" w:rsidRDefault="001268E3" w:rsidP="00DA5EC6">
            <w:pPr>
              <w:spacing w:before="0" w:after="0" w:line="240" w:lineRule="auto"/>
              <w:jc w:val="center"/>
              <w:rPr>
                <w:rFonts w:eastAsia="Times New Roman" w:cstheme="minorHAnsi"/>
                <w:sz w:val="18"/>
                <w:szCs w:val="18"/>
              </w:rPr>
            </w:pPr>
            <w:r w:rsidRPr="005C1827">
              <w:rPr>
                <w:rFonts w:eastAsia="Times New Roman" w:cstheme="minorHAnsi"/>
                <w:sz w:val="18"/>
                <w:szCs w:val="18"/>
              </w:rPr>
              <w:t>50%</w:t>
            </w:r>
          </w:p>
        </w:tc>
      </w:tr>
      <w:tr w:rsidR="001268E3" w:rsidRPr="005C1827" w14:paraId="7E954B30" w14:textId="77777777" w:rsidTr="00DA5EC6">
        <w:trPr>
          <w:trHeight w:val="300"/>
        </w:trPr>
        <w:tc>
          <w:tcPr>
            <w:tcW w:w="9353" w:type="dxa"/>
            <w:gridSpan w:val="5"/>
            <w:shd w:val="clear" w:color="auto" w:fill="auto"/>
            <w:vAlign w:val="center"/>
            <w:hideMark/>
          </w:tcPr>
          <w:p w14:paraId="758EB3D1" w14:textId="04DE532F" w:rsidR="001268E3" w:rsidRPr="005C1827" w:rsidRDefault="001268E3" w:rsidP="00AB23B8">
            <w:pPr>
              <w:spacing w:before="0" w:after="0" w:line="240" w:lineRule="auto"/>
              <w:rPr>
                <w:rFonts w:eastAsia="Times New Roman" w:cstheme="minorHAnsi"/>
                <w:b/>
                <w:bCs/>
                <w:sz w:val="18"/>
                <w:szCs w:val="18"/>
              </w:rPr>
            </w:pPr>
            <w:r w:rsidRPr="005C1827">
              <w:rPr>
                <w:rFonts w:eastAsia="Times New Roman" w:cstheme="minorHAnsi"/>
                <w:b/>
                <w:bCs/>
                <w:sz w:val="18"/>
                <w:szCs w:val="18"/>
              </w:rPr>
              <w:t xml:space="preserve">Δ </w:t>
            </w:r>
            <w:r w:rsidR="00AB23B8" w:rsidRPr="005C1827">
              <w:rPr>
                <w:rFonts w:eastAsia="Times New Roman" w:cstheme="minorHAnsi"/>
                <w:b/>
                <w:bCs/>
                <w:sz w:val="18"/>
                <w:szCs w:val="18"/>
              </w:rPr>
              <w:t>–</w:t>
            </w:r>
            <w:r w:rsidRPr="005C1827">
              <w:rPr>
                <w:rFonts w:eastAsia="Times New Roman" w:cstheme="minorHAnsi"/>
                <w:b/>
                <w:bCs/>
                <w:sz w:val="18"/>
                <w:szCs w:val="18"/>
              </w:rPr>
              <w:t xml:space="preserve"> </w:t>
            </w:r>
            <w:r w:rsidR="00AB23B8" w:rsidRPr="005C1827">
              <w:rPr>
                <w:rFonts w:eastAsia="Times New Roman" w:cstheme="minorHAnsi"/>
                <w:b/>
                <w:bCs/>
                <w:sz w:val="18"/>
                <w:szCs w:val="18"/>
              </w:rPr>
              <w:t>Επενδυτικά σχέδια</w:t>
            </w:r>
            <w:r w:rsidRPr="005C1827">
              <w:rPr>
                <w:rFonts w:eastAsia="Times New Roman" w:cstheme="minorHAnsi"/>
                <w:b/>
                <w:bCs/>
                <w:sz w:val="18"/>
                <w:szCs w:val="18"/>
              </w:rPr>
              <w:t xml:space="preserve"> </w:t>
            </w:r>
            <w:r w:rsidR="00AB23B8" w:rsidRPr="005C1827">
              <w:rPr>
                <w:rFonts w:eastAsia="Times New Roman" w:cstheme="minorHAnsi"/>
                <w:b/>
                <w:bCs/>
                <w:sz w:val="18"/>
                <w:szCs w:val="18"/>
              </w:rPr>
              <w:t>α</w:t>
            </w:r>
            <w:r w:rsidRPr="005C1827">
              <w:rPr>
                <w:rFonts w:eastAsia="Times New Roman" w:cstheme="minorHAnsi"/>
                <w:b/>
                <w:bCs/>
                <w:sz w:val="18"/>
                <w:szCs w:val="18"/>
              </w:rPr>
              <w:t>νάπτυξης οικονομιών κλίμακας μέσω συνεργασιών, εξαγορών και συγχωνεύσεων</w:t>
            </w:r>
          </w:p>
        </w:tc>
      </w:tr>
      <w:tr w:rsidR="001268E3" w:rsidRPr="005C1827" w14:paraId="20224B08" w14:textId="77777777" w:rsidTr="00DA5EC6">
        <w:trPr>
          <w:trHeight w:val="791"/>
        </w:trPr>
        <w:tc>
          <w:tcPr>
            <w:tcW w:w="6801" w:type="dxa"/>
            <w:shd w:val="clear" w:color="auto" w:fill="auto"/>
            <w:vAlign w:val="center"/>
            <w:hideMark/>
          </w:tcPr>
          <w:p w14:paraId="407270CA" w14:textId="76D9E9C8" w:rsidR="001268E3" w:rsidRPr="005C1827" w:rsidRDefault="00A17778" w:rsidP="00DA5EC6">
            <w:pPr>
              <w:spacing w:before="0" w:after="0" w:line="240" w:lineRule="auto"/>
              <w:rPr>
                <w:rFonts w:eastAsia="Times New Roman" w:cstheme="minorHAnsi"/>
                <w:sz w:val="18"/>
                <w:szCs w:val="18"/>
              </w:rPr>
            </w:pPr>
            <w:r w:rsidRPr="005C1827">
              <w:rPr>
                <w:rFonts w:eastAsia="Times New Roman" w:cstheme="minorHAnsi"/>
                <w:sz w:val="18"/>
                <w:szCs w:val="18"/>
              </w:rPr>
              <w:t>Ύπαρξη υφιστάμενης ή νέας συνεργασίας, είτε δημιουργία νέου σχήματος που προκύπτει από εξαγορά / συγχώνευση.</w:t>
            </w:r>
          </w:p>
        </w:tc>
        <w:tc>
          <w:tcPr>
            <w:tcW w:w="1276" w:type="dxa"/>
            <w:gridSpan w:val="2"/>
            <w:vAlign w:val="center"/>
          </w:tcPr>
          <w:p w14:paraId="015DD512" w14:textId="2DAFC217" w:rsidR="001268E3" w:rsidRPr="005C1827" w:rsidRDefault="00A17778" w:rsidP="00A17778">
            <w:pPr>
              <w:spacing w:before="0" w:after="0" w:line="240" w:lineRule="auto"/>
              <w:rPr>
                <w:rFonts w:eastAsia="Times New Roman" w:cstheme="minorHAnsi"/>
                <w:sz w:val="18"/>
                <w:szCs w:val="18"/>
              </w:rPr>
            </w:pPr>
            <w:r w:rsidRPr="005C1827">
              <w:rPr>
                <w:rFonts w:eastAsia="Times New Roman" w:cstheme="minorHAnsi"/>
                <w:sz w:val="18"/>
                <w:szCs w:val="18"/>
              </w:rPr>
              <w:t>Υφιστάμενες συνεργασίες</w:t>
            </w:r>
          </w:p>
        </w:tc>
        <w:tc>
          <w:tcPr>
            <w:tcW w:w="1276" w:type="dxa"/>
            <w:gridSpan w:val="2"/>
            <w:shd w:val="clear" w:color="auto" w:fill="auto"/>
            <w:vAlign w:val="center"/>
          </w:tcPr>
          <w:p w14:paraId="7C749919" w14:textId="7A53045B" w:rsidR="001268E3" w:rsidRPr="005C1827" w:rsidRDefault="001268E3" w:rsidP="00DA5EC6">
            <w:pPr>
              <w:spacing w:before="0" w:after="0" w:line="240" w:lineRule="auto"/>
              <w:rPr>
                <w:rFonts w:eastAsia="Times New Roman" w:cstheme="minorHAnsi"/>
                <w:sz w:val="18"/>
                <w:szCs w:val="18"/>
              </w:rPr>
            </w:pPr>
            <w:r w:rsidRPr="005C1827">
              <w:rPr>
                <w:rFonts w:eastAsia="Times New Roman" w:cstheme="minorHAnsi"/>
                <w:sz w:val="18"/>
                <w:szCs w:val="18"/>
              </w:rPr>
              <w:t>Ν</w:t>
            </w:r>
            <w:r w:rsidR="00A17778" w:rsidRPr="005C1827">
              <w:rPr>
                <w:rFonts w:eastAsia="Times New Roman" w:cstheme="minorHAnsi"/>
                <w:sz w:val="18"/>
                <w:szCs w:val="18"/>
              </w:rPr>
              <w:t>έες συνεργασίες και εξαγορές / συγχωνεύσεις</w:t>
            </w:r>
          </w:p>
        </w:tc>
      </w:tr>
      <w:tr w:rsidR="001268E3" w:rsidRPr="005C1827" w14:paraId="40F2BF53" w14:textId="77777777" w:rsidTr="00DA5EC6">
        <w:trPr>
          <w:trHeight w:val="300"/>
        </w:trPr>
        <w:tc>
          <w:tcPr>
            <w:tcW w:w="6801" w:type="dxa"/>
            <w:shd w:val="clear" w:color="auto" w:fill="auto"/>
            <w:noWrap/>
            <w:vAlign w:val="center"/>
            <w:hideMark/>
          </w:tcPr>
          <w:p w14:paraId="5EA54633" w14:textId="03AEB16B" w:rsidR="001268E3" w:rsidRPr="005C1827" w:rsidRDefault="001268E3" w:rsidP="00222074">
            <w:pPr>
              <w:spacing w:before="0" w:after="0" w:line="240" w:lineRule="auto"/>
              <w:rPr>
                <w:rFonts w:eastAsia="Times New Roman" w:cstheme="minorHAnsi"/>
                <w:sz w:val="18"/>
                <w:szCs w:val="18"/>
              </w:rPr>
            </w:pPr>
            <w:r w:rsidRPr="005C1827">
              <w:rPr>
                <w:rFonts w:eastAsia="Times New Roman" w:cstheme="minorHAnsi"/>
                <w:sz w:val="18"/>
                <w:szCs w:val="18"/>
              </w:rPr>
              <w:t xml:space="preserve">Αντίστοιχη ποσόστωση δανείου ΤΑΑ επί του προϋπολογισμού του </w:t>
            </w:r>
            <w:r w:rsidR="00222074" w:rsidRPr="005C1827">
              <w:rPr>
                <w:rFonts w:eastAsia="Times New Roman" w:cstheme="minorHAnsi"/>
                <w:sz w:val="18"/>
                <w:szCs w:val="18"/>
              </w:rPr>
              <w:t>επενδυτικού σχε΄διου</w:t>
            </w:r>
          </w:p>
        </w:tc>
        <w:tc>
          <w:tcPr>
            <w:tcW w:w="1276" w:type="dxa"/>
            <w:gridSpan w:val="2"/>
            <w:vAlign w:val="center"/>
          </w:tcPr>
          <w:p w14:paraId="0582F9A2" w14:textId="77777777" w:rsidR="001268E3" w:rsidRPr="005C1827" w:rsidRDefault="001268E3" w:rsidP="00DA5EC6">
            <w:pPr>
              <w:spacing w:before="0" w:after="0" w:line="240" w:lineRule="auto"/>
              <w:jc w:val="center"/>
              <w:rPr>
                <w:rFonts w:eastAsia="Times New Roman" w:cstheme="minorHAnsi"/>
                <w:sz w:val="18"/>
                <w:szCs w:val="18"/>
              </w:rPr>
            </w:pPr>
            <w:r w:rsidRPr="005C1827">
              <w:rPr>
                <w:rFonts w:eastAsia="Times New Roman" w:cstheme="minorHAnsi"/>
                <w:sz w:val="18"/>
                <w:szCs w:val="18"/>
              </w:rPr>
              <w:t>30%</w:t>
            </w:r>
          </w:p>
        </w:tc>
        <w:tc>
          <w:tcPr>
            <w:tcW w:w="1276" w:type="dxa"/>
            <w:gridSpan w:val="2"/>
            <w:shd w:val="clear" w:color="auto" w:fill="auto"/>
            <w:vAlign w:val="center"/>
          </w:tcPr>
          <w:p w14:paraId="0CAF6CEF" w14:textId="77777777" w:rsidR="001268E3" w:rsidRPr="005C1827" w:rsidRDefault="001268E3" w:rsidP="00DA5EC6">
            <w:pPr>
              <w:spacing w:before="0" w:after="0" w:line="240" w:lineRule="auto"/>
              <w:jc w:val="center"/>
              <w:rPr>
                <w:rFonts w:eastAsia="Times New Roman" w:cstheme="minorHAnsi"/>
                <w:sz w:val="18"/>
                <w:szCs w:val="18"/>
              </w:rPr>
            </w:pPr>
            <w:r w:rsidRPr="005C1827">
              <w:rPr>
                <w:rFonts w:eastAsia="Times New Roman" w:cstheme="minorHAnsi"/>
                <w:sz w:val="18"/>
                <w:szCs w:val="18"/>
              </w:rPr>
              <w:t>40%</w:t>
            </w:r>
          </w:p>
        </w:tc>
      </w:tr>
      <w:tr w:rsidR="001268E3" w:rsidRPr="005C1827" w14:paraId="6D4601C0" w14:textId="77777777" w:rsidTr="00DA5EC6">
        <w:trPr>
          <w:trHeight w:val="300"/>
        </w:trPr>
        <w:tc>
          <w:tcPr>
            <w:tcW w:w="9353" w:type="dxa"/>
            <w:gridSpan w:val="5"/>
            <w:shd w:val="clear" w:color="auto" w:fill="auto"/>
            <w:vAlign w:val="center"/>
            <w:hideMark/>
          </w:tcPr>
          <w:p w14:paraId="3BA2BD54" w14:textId="51CDA9CA" w:rsidR="001268E3" w:rsidRPr="005C1827" w:rsidRDefault="00AB23B8" w:rsidP="00AB23B8">
            <w:pPr>
              <w:spacing w:before="0" w:after="0" w:line="240" w:lineRule="auto"/>
              <w:rPr>
                <w:rFonts w:eastAsia="Times New Roman" w:cstheme="minorHAnsi"/>
                <w:b/>
                <w:bCs/>
                <w:sz w:val="18"/>
                <w:szCs w:val="18"/>
              </w:rPr>
            </w:pPr>
            <w:r w:rsidRPr="005C1827">
              <w:rPr>
                <w:rFonts w:eastAsia="Times New Roman" w:cstheme="minorHAnsi"/>
                <w:b/>
                <w:bCs/>
                <w:sz w:val="18"/>
                <w:szCs w:val="18"/>
              </w:rPr>
              <w:t>Ε – Επενδυτικά σχέδια ε</w:t>
            </w:r>
            <w:r w:rsidR="001268E3" w:rsidRPr="005C1827">
              <w:rPr>
                <w:rFonts w:eastAsia="Times New Roman" w:cstheme="minorHAnsi"/>
                <w:b/>
                <w:bCs/>
                <w:sz w:val="18"/>
                <w:szCs w:val="18"/>
              </w:rPr>
              <w:t>ξωστρέφειας</w:t>
            </w:r>
          </w:p>
        </w:tc>
      </w:tr>
      <w:tr w:rsidR="001268E3" w:rsidRPr="005C1827" w14:paraId="320007A6" w14:textId="77777777" w:rsidTr="00DA5EC6">
        <w:trPr>
          <w:trHeight w:val="552"/>
        </w:trPr>
        <w:tc>
          <w:tcPr>
            <w:tcW w:w="9353" w:type="dxa"/>
            <w:gridSpan w:val="5"/>
            <w:shd w:val="clear" w:color="auto" w:fill="auto"/>
            <w:vAlign w:val="center"/>
            <w:hideMark/>
          </w:tcPr>
          <w:p w14:paraId="31BE1278" w14:textId="314F92E2" w:rsidR="001268E3" w:rsidRPr="005C1827" w:rsidRDefault="00FF506A" w:rsidP="00DA5EC6">
            <w:pPr>
              <w:spacing w:before="0" w:after="0" w:line="240" w:lineRule="auto"/>
              <w:rPr>
                <w:rFonts w:eastAsia="Times New Roman" w:cstheme="minorHAnsi"/>
                <w:sz w:val="18"/>
                <w:szCs w:val="18"/>
              </w:rPr>
            </w:pPr>
            <w:r w:rsidRPr="005C1827">
              <w:rPr>
                <w:rFonts w:eastAsia="Times New Roman" w:cstheme="minorHAnsi"/>
                <w:sz w:val="18"/>
                <w:szCs w:val="18"/>
              </w:rPr>
              <w:t>Ύπαρξη</w:t>
            </w:r>
            <w:r w:rsidR="001268E3" w:rsidRPr="005C1827">
              <w:rPr>
                <w:rFonts w:eastAsia="Times New Roman" w:cstheme="minorHAnsi"/>
                <w:sz w:val="18"/>
                <w:szCs w:val="18"/>
              </w:rPr>
              <w:t xml:space="preserve"> εναλλακτικά:</w:t>
            </w:r>
          </w:p>
          <w:p w14:paraId="63D758D6" w14:textId="07A9340A" w:rsidR="001268E3" w:rsidRPr="005C1827" w:rsidRDefault="001268E3" w:rsidP="00F23E9E">
            <w:pPr>
              <w:pStyle w:val="a8"/>
              <w:numPr>
                <w:ilvl w:val="0"/>
                <w:numId w:val="40"/>
              </w:numPr>
              <w:spacing w:before="0" w:after="0" w:line="240" w:lineRule="auto"/>
              <w:rPr>
                <w:rFonts w:asciiTheme="minorHAnsi" w:eastAsia="Times New Roman" w:hAnsiTheme="minorHAnsi" w:cstheme="minorHAnsi"/>
                <w:sz w:val="18"/>
                <w:szCs w:val="18"/>
              </w:rPr>
            </w:pPr>
            <w:r w:rsidRPr="005C1827">
              <w:rPr>
                <w:rFonts w:asciiTheme="minorHAnsi" w:eastAsia="Times New Roman" w:hAnsiTheme="minorHAnsi" w:cstheme="minorHAnsi"/>
                <w:sz w:val="18"/>
                <w:szCs w:val="18"/>
              </w:rPr>
              <w:t xml:space="preserve">Μέσου όρου υφιστάμενης εξαγωγικής δραστηριότητας επενδυτή τουλάχιστον στο 20% του κύκλου εργασιών (οικονομικά στοιχεία </w:t>
            </w:r>
            <w:r w:rsidR="00786289" w:rsidRPr="005C1827">
              <w:rPr>
                <w:rFonts w:asciiTheme="minorHAnsi" w:eastAsia="Times New Roman" w:hAnsiTheme="minorHAnsi" w:cstheme="minorHAnsi"/>
                <w:sz w:val="18"/>
                <w:szCs w:val="18"/>
              </w:rPr>
              <w:t xml:space="preserve">προηγούμενης </w:t>
            </w:r>
            <w:r w:rsidRPr="005C1827">
              <w:rPr>
                <w:rFonts w:asciiTheme="minorHAnsi" w:eastAsia="Times New Roman" w:hAnsiTheme="minorHAnsi" w:cstheme="minorHAnsi"/>
                <w:sz w:val="18"/>
                <w:szCs w:val="18"/>
              </w:rPr>
              <w:t>τριετίας)</w:t>
            </w:r>
          </w:p>
          <w:p w14:paraId="57780260" w14:textId="7A867A7B" w:rsidR="001268E3" w:rsidRPr="005C1827" w:rsidRDefault="001268E3" w:rsidP="0029113C">
            <w:pPr>
              <w:pStyle w:val="a8"/>
              <w:numPr>
                <w:ilvl w:val="0"/>
                <w:numId w:val="40"/>
              </w:numPr>
              <w:spacing w:before="0" w:after="0" w:line="240" w:lineRule="auto"/>
              <w:rPr>
                <w:rFonts w:asciiTheme="minorHAnsi" w:eastAsia="Times New Roman" w:hAnsiTheme="minorHAnsi" w:cstheme="minorHAnsi"/>
                <w:sz w:val="18"/>
                <w:szCs w:val="18"/>
              </w:rPr>
            </w:pPr>
            <w:r w:rsidRPr="005C1827">
              <w:rPr>
                <w:rFonts w:asciiTheme="minorHAnsi" w:eastAsia="Times New Roman" w:hAnsiTheme="minorHAnsi" w:cstheme="minorHAnsi"/>
                <w:sz w:val="18"/>
                <w:szCs w:val="18"/>
              </w:rPr>
              <w:t xml:space="preserve">Ελάχιστου προϋπολογισμού εξαγωγών του </w:t>
            </w:r>
            <w:r w:rsidR="0029113C" w:rsidRPr="005C1827">
              <w:rPr>
                <w:rFonts w:asciiTheme="minorHAnsi" w:eastAsia="Times New Roman" w:hAnsiTheme="minorHAnsi" w:cstheme="minorHAnsi"/>
                <w:sz w:val="18"/>
                <w:szCs w:val="18"/>
              </w:rPr>
              <w:t>επενδυτικού σχεδίου</w:t>
            </w:r>
            <w:r w:rsidRPr="005C1827">
              <w:rPr>
                <w:rFonts w:asciiTheme="minorHAnsi" w:eastAsia="Times New Roman" w:hAnsiTheme="minorHAnsi" w:cstheme="minorHAnsi"/>
                <w:sz w:val="18"/>
                <w:szCs w:val="18"/>
              </w:rPr>
              <w:t xml:space="preserve"> τουλάχιστον στο 20% των προβλεπόμενων συνολικών εσόδων του </w:t>
            </w:r>
            <w:r w:rsidR="0029113C" w:rsidRPr="005C1827">
              <w:rPr>
                <w:rFonts w:asciiTheme="minorHAnsi" w:eastAsia="Times New Roman" w:hAnsiTheme="minorHAnsi" w:cstheme="minorHAnsi"/>
                <w:sz w:val="18"/>
                <w:szCs w:val="18"/>
              </w:rPr>
              <w:t>επενδυτικού σχεδίου</w:t>
            </w:r>
            <w:r w:rsidRPr="005C1827">
              <w:rPr>
                <w:rFonts w:asciiTheme="minorHAnsi" w:eastAsia="Times New Roman" w:hAnsiTheme="minorHAnsi" w:cstheme="minorHAnsi"/>
                <w:sz w:val="18"/>
                <w:szCs w:val="18"/>
              </w:rPr>
              <w:t xml:space="preserve"> (μελέτη βιωσιμότητας)</w:t>
            </w:r>
          </w:p>
        </w:tc>
      </w:tr>
      <w:tr w:rsidR="001268E3" w:rsidRPr="005C1827" w14:paraId="5F688C0A" w14:textId="77777777" w:rsidTr="00DA5EC6">
        <w:trPr>
          <w:trHeight w:val="300"/>
        </w:trPr>
        <w:tc>
          <w:tcPr>
            <w:tcW w:w="6801" w:type="dxa"/>
            <w:shd w:val="clear" w:color="auto" w:fill="auto"/>
            <w:noWrap/>
            <w:vAlign w:val="center"/>
            <w:hideMark/>
          </w:tcPr>
          <w:p w14:paraId="46323EED" w14:textId="77777777" w:rsidR="001268E3" w:rsidRPr="005C1827" w:rsidRDefault="001268E3" w:rsidP="00DA5EC6">
            <w:pPr>
              <w:spacing w:before="0" w:after="0" w:line="240" w:lineRule="auto"/>
              <w:rPr>
                <w:rFonts w:eastAsia="Times New Roman" w:cstheme="minorHAnsi"/>
                <w:sz w:val="18"/>
                <w:szCs w:val="18"/>
              </w:rPr>
            </w:pPr>
            <w:r w:rsidRPr="005C1827">
              <w:rPr>
                <w:rFonts w:eastAsia="Times New Roman" w:cstheme="minorHAnsi"/>
                <w:sz w:val="18"/>
                <w:szCs w:val="18"/>
              </w:rPr>
              <w:t>Εναλλακτικά:</w:t>
            </w:r>
          </w:p>
          <w:p w14:paraId="10A4D8DA" w14:textId="77777777" w:rsidR="001268E3" w:rsidRPr="005C1827" w:rsidRDefault="001268E3" w:rsidP="00F23E9E">
            <w:pPr>
              <w:pStyle w:val="a8"/>
              <w:numPr>
                <w:ilvl w:val="0"/>
                <w:numId w:val="41"/>
              </w:numPr>
              <w:spacing w:before="0" w:after="0" w:line="240" w:lineRule="auto"/>
              <w:rPr>
                <w:rFonts w:asciiTheme="minorHAnsi" w:eastAsia="Times New Roman" w:hAnsiTheme="minorHAnsi" w:cstheme="minorHAnsi"/>
                <w:sz w:val="18"/>
                <w:szCs w:val="18"/>
              </w:rPr>
            </w:pPr>
            <w:r w:rsidRPr="005C1827">
              <w:rPr>
                <w:rFonts w:asciiTheme="minorHAnsi" w:eastAsia="Times New Roman" w:hAnsiTheme="minorHAnsi" w:cstheme="minorHAnsi"/>
                <w:sz w:val="18"/>
                <w:szCs w:val="18"/>
              </w:rPr>
              <w:t>Ελάχιστος μέσος όρος υφιστάμενης εξαγωγικής δραστηριότητας επενδυτή ως ποσοστό του κύκλου εργασιών ((οικονομικά στοιχεία τριετίας)</w:t>
            </w:r>
          </w:p>
          <w:p w14:paraId="1F1FD300" w14:textId="30DE750F" w:rsidR="001268E3" w:rsidRPr="005C1827" w:rsidRDefault="001268E3" w:rsidP="00F61C6F">
            <w:pPr>
              <w:pStyle w:val="a8"/>
              <w:numPr>
                <w:ilvl w:val="0"/>
                <w:numId w:val="41"/>
              </w:numPr>
              <w:spacing w:before="0" w:after="0" w:line="240" w:lineRule="auto"/>
              <w:rPr>
                <w:rFonts w:asciiTheme="minorHAnsi" w:eastAsia="Times New Roman" w:hAnsiTheme="minorHAnsi" w:cstheme="minorHAnsi"/>
                <w:sz w:val="18"/>
                <w:szCs w:val="18"/>
              </w:rPr>
            </w:pPr>
            <w:r w:rsidRPr="005C1827">
              <w:rPr>
                <w:rFonts w:asciiTheme="minorHAnsi" w:eastAsia="Times New Roman" w:hAnsiTheme="minorHAnsi" w:cstheme="minorHAnsi"/>
                <w:sz w:val="18"/>
                <w:szCs w:val="18"/>
              </w:rPr>
              <w:t>Ελά</w:t>
            </w:r>
            <w:r w:rsidR="00F61C6F" w:rsidRPr="005C1827">
              <w:rPr>
                <w:rFonts w:asciiTheme="minorHAnsi" w:eastAsia="Times New Roman" w:hAnsiTheme="minorHAnsi" w:cstheme="minorHAnsi"/>
                <w:sz w:val="18"/>
                <w:szCs w:val="18"/>
              </w:rPr>
              <w:t>χιστος προϋπολογισμός εξαγωγών επενδυτικού σχεδίου</w:t>
            </w:r>
            <w:r w:rsidRPr="005C1827">
              <w:rPr>
                <w:rFonts w:asciiTheme="minorHAnsi" w:eastAsia="Times New Roman" w:hAnsiTheme="minorHAnsi" w:cstheme="minorHAnsi"/>
                <w:sz w:val="18"/>
                <w:szCs w:val="18"/>
              </w:rPr>
              <w:t xml:space="preserve"> ως ποσοστό των προβλεπόμενων συνολικών εσόδων του </w:t>
            </w:r>
            <w:r w:rsidR="0029113C" w:rsidRPr="005C1827">
              <w:rPr>
                <w:rFonts w:asciiTheme="minorHAnsi" w:eastAsia="Times New Roman" w:hAnsiTheme="minorHAnsi" w:cstheme="minorHAnsi"/>
                <w:sz w:val="18"/>
                <w:szCs w:val="18"/>
              </w:rPr>
              <w:t>επενδυτικού σχεδίου</w:t>
            </w:r>
            <w:r w:rsidRPr="005C1827">
              <w:rPr>
                <w:rFonts w:asciiTheme="minorHAnsi" w:eastAsia="Times New Roman" w:hAnsiTheme="minorHAnsi" w:cstheme="minorHAnsi"/>
                <w:sz w:val="18"/>
                <w:szCs w:val="18"/>
              </w:rPr>
              <w:t xml:space="preserve"> (μελέτη βιωσιμότητας)</w:t>
            </w:r>
          </w:p>
        </w:tc>
        <w:tc>
          <w:tcPr>
            <w:tcW w:w="851" w:type="dxa"/>
            <w:shd w:val="clear" w:color="auto" w:fill="auto"/>
            <w:vAlign w:val="center"/>
            <w:hideMark/>
          </w:tcPr>
          <w:p w14:paraId="22EE7C7F" w14:textId="77777777" w:rsidR="001268E3" w:rsidRPr="005C1827" w:rsidRDefault="001268E3" w:rsidP="00DA5EC6">
            <w:pPr>
              <w:spacing w:before="0" w:after="0" w:line="240" w:lineRule="auto"/>
              <w:jc w:val="center"/>
              <w:rPr>
                <w:rFonts w:eastAsia="Times New Roman" w:cstheme="minorHAnsi"/>
                <w:sz w:val="18"/>
                <w:szCs w:val="18"/>
              </w:rPr>
            </w:pPr>
            <w:r w:rsidRPr="005C1827">
              <w:rPr>
                <w:rFonts w:eastAsia="Times New Roman" w:cstheme="minorHAnsi"/>
                <w:sz w:val="18"/>
                <w:szCs w:val="18"/>
              </w:rPr>
              <w:t>20%</w:t>
            </w:r>
          </w:p>
        </w:tc>
        <w:tc>
          <w:tcPr>
            <w:tcW w:w="850" w:type="dxa"/>
            <w:gridSpan w:val="2"/>
            <w:shd w:val="clear" w:color="auto" w:fill="auto"/>
            <w:vAlign w:val="center"/>
            <w:hideMark/>
          </w:tcPr>
          <w:p w14:paraId="322AD148" w14:textId="77777777" w:rsidR="001268E3" w:rsidRPr="005C1827" w:rsidRDefault="001268E3" w:rsidP="00DA5EC6">
            <w:pPr>
              <w:spacing w:before="0" w:after="0" w:line="240" w:lineRule="auto"/>
              <w:jc w:val="center"/>
              <w:rPr>
                <w:rFonts w:eastAsia="Times New Roman" w:cstheme="minorHAnsi"/>
                <w:sz w:val="18"/>
                <w:szCs w:val="18"/>
              </w:rPr>
            </w:pPr>
            <w:r w:rsidRPr="005C1827">
              <w:rPr>
                <w:rFonts w:eastAsia="Times New Roman" w:cstheme="minorHAnsi"/>
                <w:sz w:val="18"/>
                <w:szCs w:val="18"/>
              </w:rPr>
              <w:t>40%</w:t>
            </w:r>
          </w:p>
        </w:tc>
        <w:tc>
          <w:tcPr>
            <w:tcW w:w="851" w:type="dxa"/>
            <w:shd w:val="clear" w:color="auto" w:fill="auto"/>
            <w:vAlign w:val="center"/>
            <w:hideMark/>
          </w:tcPr>
          <w:p w14:paraId="2FAB7306" w14:textId="77777777" w:rsidR="001268E3" w:rsidRPr="005C1827" w:rsidRDefault="001268E3" w:rsidP="00DA5EC6">
            <w:pPr>
              <w:spacing w:before="0" w:after="0" w:line="240" w:lineRule="auto"/>
              <w:jc w:val="center"/>
              <w:rPr>
                <w:rFonts w:eastAsia="Times New Roman" w:cstheme="minorHAnsi"/>
                <w:sz w:val="18"/>
                <w:szCs w:val="18"/>
              </w:rPr>
            </w:pPr>
            <w:r w:rsidRPr="005C1827">
              <w:rPr>
                <w:rFonts w:eastAsia="Times New Roman" w:cstheme="minorHAnsi"/>
                <w:sz w:val="18"/>
                <w:szCs w:val="18"/>
              </w:rPr>
              <w:t>60%</w:t>
            </w:r>
          </w:p>
        </w:tc>
      </w:tr>
      <w:tr w:rsidR="001268E3" w:rsidRPr="005C1827" w14:paraId="7172235D" w14:textId="77777777" w:rsidTr="00DA5EC6">
        <w:trPr>
          <w:trHeight w:val="300"/>
        </w:trPr>
        <w:tc>
          <w:tcPr>
            <w:tcW w:w="6801" w:type="dxa"/>
            <w:shd w:val="clear" w:color="auto" w:fill="auto"/>
            <w:noWrap/>
            <w:vAlign w:val="center"/>
            <w:hideMark/>
          </w:tcPr>
          <w:p w14:paraId="48D133D3" w14:textId="0BA42CB2" w:rsidR="001268E3" w:rsidRPr="005C1827" w:rsidRDefault="001268E3" w:rsidP="00F45FC7">
            <w:pPr>
              <w:spacing w:before="0" w:after="0" w:line="240" w:lineRule="auto"/>
              <w:rPr>
                <w:rFonts w:eastAsia="Times New Roman" w:cstheme="minorHAnsi"/>
                <w:sz w:val="18"/>
                <w:szCs w:val="18"/>
              </w:rPr>
            </w:pPr>
            <w:r w:rsidRPr="005C1827">
              <w:rPr>
                <w:rFonts w:eastAsia="Times New Roman" w:cstheme="minorHAnsi"/>
                <w:sz w:val="18"/>
                <w:szCs w:val="18"/>
              </w:rPr>
              <w:t xml:space="preserve">Αντίστοιχη ποσόστωση δανείου ΤΑΑ επί του προϋπολογισμού του </w:t>
            </w:r>
            <w:r w:rsidR="00F45FC7" w:rsidRPr="005C1827">
              <w:rPr>
                <w:rFonts w:eastAsia="Times New Roman" w:cstheme="minorHAnsi"/>
                <w:sz w:val="18"/>
                <w:szCs w:val="18"/>
              </w:rPr>
              <w:t>επενδυτικού σχεδίου</w:t>
            </w:r>
          </w:p>
        </w:tc>
        <w:tc>
          <w:tcPr>
            <w:tcW w:w="851" w:type="dxa"/>
            <w:shd w:val="clear" w:color="auto" w:fill="auto"/>
            <w:noWrap/>
            <w:vAlign w:val="center"/>
            <w:hideMark/>
          </w:tcPr>
          <w:p w14:paraId="1CBDF77A" w14:textId="77777777" w:rsidR="001268E3" w:rsidRPr="005C1827" w:rsidRDefault="001268E3" w:rsidP="00DA5EC6">
            <w:pPr>
              <w:spacing w:before="0" w:after="0" w:line="240" w:lineRule="auto"/>
              <w:jc w:val="center"/>
              <w:rPr>
                <w:rFonts w:eastAsia="Times New Roman" w:cstheme="minorHAnsi"/>
                <w:sz w:val="18"/>
                <w:szCs w:val="18"/>
              </w:rPr>
            </w:pPr>
            <w:r w:rsidRPr="005C1827">
              <w:rPr>
                <w:rFonts w:eastAsia="Times New Roman" w:cstheme="minorHAnsi"/>
                <w:sz w:val="18"/>
                <w:szCs w:val="18"/>
              </w:rPr>
              <w:t>30%</w:t>
            </w:r>
          </w:p>
        </w:tc>
        <w:tc>
          <w:tcPr>
            <w:tcW w:w="850" w:type="dxa"/>
            <w:gridSpan w:val="2"/>
            <w:shd w:val="clear" w:color="auto" w:fill="auto"/>
            <w:vAlign w:val="center"/>
            <w:hideMark/>
          </w:tcPr>
          <w:p w14:paraId="3ECBC449" w14:textId="77777777" w:rsidR="001268E3" w:rsidRPr="005C1827" w:rsidRDefault="001268E3" w:rsidP="00DA5EC6">
            <w:pPr>
              <w:spacing w:before="0" w:after="0" w:line="240" w:lineRule="auto"/>
              <w:jc w:val="center"/>
              <w:rPr>
                <w:rFonts w:eastAsia="Times New Roman" w:cstheme="minorHAnsi"/>
                <w:sz w:val="18"/>
                <w:szCs w:val="18"/>
              </w:rPr>
            </w:pPr>
            <w:r w:rsidRPr="005C1827">
              <w:rPr>
                <w:rFonts w:eastAsia="Times New Roman" w:cstheme="minorHAnsi"/>
                <w:sz w:val="18"/>
                <w:szCs w:val="18"/>
              </w:rPr>
              <w:t>40%</w:t>
            </w:r>
          </w:p>
        </w:tc>
        <w:tc>
          <w:tcPr>
            <w:tcW w:w="851" w:type="dxa"/>
            <w:shd w:val="clear" w:color="auto" w:fill="auto"/>
            <w:noWrap/>
            <w:vAlign w:val="center"/>
            <w:hideMark/>
          </w:tcPr>
          <w:p w14:paraId="2A35EA81" w14:textId="77777777" w:rsidR="001268E3" w:rsidRPr="005C1827" w:rsidRDefault="001268E3" w:rsidP="00DA5EC6">
            <w:pPr>
              <w:spacing w:before="0" w:after="0" w:line="240" w:lineRule="auto"/>
              <w:jc w:val="center"/>
              <w:rPr>
                <w:rFonts w:eastAsia="Times New Roman" w:cstheme="minorHAnsi"/>
                <w:sz w:val="18"/>
                <w:szCs w:val="18"/>
              </w:rPr>
            </w:pPr>
            <w:r w:rsidRPr="005C1827">
              <w:rPr>
                <w:rFonts w:eastAsia="Times New Roman" w:cstheme="minorHAnsi"/>
                <w:sz w:val="18"/>
                <w:szCs w:val="18"/>
              </w:rPr>
              <w:t>50%</w:t>
            </w:r>
          </w:p>
        </w:tc>
      </w:tr>
      <w:tr w:rsidR="001268E3" w:rsidRPr="005C1827" w14:paraId="63C80DA9" w14:textId="77777777" w:rsidTr="00DA5EC6">
        <w:trPr>
          <w:trHeight w:val="300"/>
        </w:trPr>
        <w:tc>
          <w:tcPr>
            <w:tcW w:w="9353" w:type="dxa"/>
            <w:gridSpan w:val="5"/>
            <w:shd w:val="clear" w:color="auto" w:fill="auto"/>
            <w:noWrap/>
            <w:vAlign w:val="center"/>
          </w:tcPr>
          <w:p w14:paraId="42C39215" w14:textId="27322EAC" w:rsidR="001268E3" w:rsidRPr="005C1827" w:rsidRDefault="001268E3" w:rsidP="00F45FC7">
            <w:pPr>
              <w:spacing w:before="0" w:after="0" w:line="240" w:lineRule="auto"/>
              <w:rPr>
                <w:rFonts w:eastAsia="Times New Roman"/>
                <w:sz w:val="18"/>
                <w:szCs w:val="18"/>
              </w:rPr>
            </w:pPr>
            <w:r w:rsidRPr="005C1827">
              <w:rPr>
                <w:rFonts w:eastAsia="Times New Roman"/>
                <w:sz w:val="18"/>
                <w:szCs w:val="18"/>
              </w:rPr>
              <w:t>Ειδικά για τις περιπτώσεις τουριστικών επενδύσεων</w:t>
            </w:r>
            <w:r w:rsidR="006B7860" w:rsidRPr="005C1827">
              <w:rPr>
                <w:rFonts w:eastAsia="Times New Roman"/>
                <w:sz w:val="18"/>
                <w:szCs w:val="18"/>
              </w:rPr>
              <w:t xml:space="preserve"> </w:t>
            </w:r>
            <w:r w:rsidRPr="005C1827">
              <w:rPr>
                <w:rFonts w:eastAsia="Times New Roman"/>
                <w:sz w:val="18"/>
                <w:szCs w:val="18"/>
              </w:rPr>
              <w:t>σύνθετων τουριστικών καταλυμάτων</w:t>
            </w:r>
            <w:r w:rsidR="006B7860" w:rsidRPr="005C1827">
              <w:rPr>
                <w:rFonts w:eastAsia="Times New Roman"/>
                <w:sz w:val="18"/>
                <w:szCs w:val="18"/>
              </w:rPr>
              <w:t xml:space="preserve"> και</w:t>
            </w:r>
            <w:r w:rsidR="006B7860" w:rsidRPr="005C1827">
              <w:t xml:space="preserve"> </w:t>
            </w:r>
            <w:r w:rsidR="006B7860" w:rsidRPr="005C1827">
              <w:rPr>
                <w:rFonts w:eastAsia="Times New Roman"/>
                <w:sz w:val="18"/>
                <w:szCs w:val="18"/>
              </w:rPr>
              <w:t>συγκροτημάτων τουριστικών κατοικιών</w:t>
            </w:r>
            <w:r w:rsidRPr="005C1827">
              <w:rPr>
                <w:rFonts w:eastAsia="Times New Roman"/>
                <w:sz w:val="18"/>
                <w:szCs w:val="18"/>
              </w:rPr>
              <w:t xml:space="preserve">, η ποσόστωση δανείου ΤΑΑ επι του προϋπολογισμού του </w:t>
            </w:r>
            <w:r w:rsidR="00F45FC7" w:rsidRPr="005C1827">
              <w:rPr>
                <w:rFonts w:eastAsia="Times New Roman"/>
                <w:sz w:val="18"/>
                <w:szCs w:val="18"/>
              </w:rPr>
              <w:t>επενδυτικού σχεδίου</w:t>
            </w:r>
            <w:r w:rsidRPr="005C1827">
              <w:rPr>
                <w:rFonts w:eastAsia="Times New Roman"/>
                <w:sz w:val="18"/>
                <w:szCs w:val="18"/>
              </w:rPr>
              <w:t xml:space="preserve"> ανέρχεται αυτοτελώς στο 40%, ανεξαρτήτως οικονομικών στοιχείων του επενδυτή ή προβλέψεων εσόδων του </w:t>
            </w:r>
            <w:r w:rsidR="00F45FC7" w:rsidRPr="005C1827">
              <w:rPr>
                <w:rFonts w:eastAsia="Times New Roman"/>
                <w:sz w:val="18"/>
                <w:szCs w:val="18"/>
              </w:rPr>
              <w:t>επενδυτικού σχεδίου</w:t>
            </w:r>
            <w:r w:rsidRPr="005C1827">
              <w:rPr>
                <w:rFonts w:eastAsia="Times New Roman"/>
                <w:sz w:val="18"/>
                <w:szCs w:val="18"/>
              </w:rPr>
              <w:t>.</w:t>
            </w:r>
          </w:p>
        </w:tc>
      </w:tr>
    </w:tbl>
    <w:p w14:paraId="0CC10B07" w14:textId="08513D5C" w:rsidR="001268E3" w:rsidRPr="005C1827" w:rsidRDefault="001268E3" w:rsidP="001268E3">
      <w:r w:rsidRPr="005C1827">
        <w:t xml:space="preserve">Σημειώνεται ότι στην περίπτωση όπου ένα </w:t>
      </w:r>
      <w:r w:rsidR="00F45FC7" w:rsidRPr="005C1827">
        <w:t>επενδυτικό σχέδιο</w:t>
      </w:r>
      <w:r w:rsidRPr="005C1827">
        <w:t xml:space="preserve"> είναι επιλέξιμο σε παραπάνω από έναν πυλώνα, οι ποσοστώσεις των πυλώνων αθροίζονται, το </w:t>
      </w:r>
      <w:r w:rsidR="00C86F41" w:rsidRPr="005C1827">
        <w:t xml:space="preserve">δε </w:t>
      </w:r>
      <w:r w:rsidRPr="005C1827">
        <w:t>άθροισμα δεν μπορεί να υπερβεί το 50%.</w:t>
      </w:r>
    </w:p>
    <w:p w14:paraId="2A2A9EDC" w14:textId="228973B3" w:rsidR="00D17D01" w:rsidRPr="005C1827" w:rsidRDefault="00D17D01" w:rsidP="001268E3">
      <w:r w:rsidRPr="005C1827">
        <w:t>Τα κριτήρια επιλεξιμότητας ανά πυλώνα του δανειακού προγράμματος του ΤΑΑ είναι:</w:t>
      </w:r>
    </w:p>
    <w:tbl>
      <w:tblPr>
        <w:tblStyle w:val="a7"/>
        <w:tblW w:w="9351"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2407"/>
        <w:gridCol w:w="6944"/>
      </w:tblGrid>
      <w:tr w:rsidR="002603DF" w:rsidRPr="005C1827" w14:paraId="34587CFD" w14:textId="77777777" w:rsidTr="00A17778">
        <w:trPr>
          <w:tblHeader/>
        </w:trPr>
        <w:tc>
          <w:tcPr>
            <w:tcW w:w="2407" w:type="dxa"/>
            <w:shd w:val="clear" w:color="auto" w:fill="D9D9D9" w:themeFill="background1" w:themeFillShade="D9"/>
          </w:tcPr>
          <w:p w14:paraId="057E4CE4" w14:textId="5E1A6B1C" w:rsidR="002603DF" w:rsidRPr="005C1827" w:rsidRDefault="002603DF" w:rsidP="00875EF2">
            <w:pPr>
              <w:spacing w:before="60" w:after="60" w:line="240" w:lineRule="auto"/>
              <w:rPr>
                <w:b/>
              </w:rPr>
            </w:pPr>
            <w:r w:rsidRPr="005C1827">
              <w:rPr>
                <w:b/>
              </w:rPr>
              <w:t>Πυλώνα</w:t>
            </w:r>
            <w:r w:rsidR="00A17778" w:rsidRPr="005C1827">
              <w:rPr>
                <w:b/>
              </w:rPr>
              <w:t>ς</w:t>
            </w:r>
            <w:r w:rsidRPr="005C1827">
              <w:rPr>
                <w:b/>
              </w:rPr>
              <w:t xml:space="preserve"> δανειακού προγράμματος ΤΑΑ</w:t>
            </w:r>
          </w:p>
        </w:tc>
        <w:tc>
          <w:tcPr>
            <w:tcW w:w="6944" w:type="dxa"/>
            <w:shd w:val="clear" w:color="auto" w:fill="D9D9D9" w:themeFill="background1" w:themeFillShade="D9"/>
          </w:tcPr>
          <w:p w14:paraId="595887A4" w14:textId="27BDE2D4" w:rsidR="002603DF" w:rsidRPr="005C1827" w:rsidRDefault="002603DF" w:rsidP="00875EF2">
            <w:pPr>
              <w:spacing w:before="60" w:after="60" w:line="240" w:lineRule="auto"/>
              <w:rPr>
                <w:b/>
              </w:rPr>
            </w:pPr>
            <w:r w:rsidRPr="005C1827">
              <w:rPr>
                <w:b/>
              </w:rPr>
              <w:t xml:space="preserve">Κριτήρια επιλεξιμότητας </w:t>
            </w:r>
            <w:r w:rsidR="00C10812" w:rsidRPr="005C1827">
              <w:rPr>
                <w:b/>
              </w:rPr>
              <w:t>επενδυτικού σχεδίου</w:t>
            </w:r>
          </w:p>
        </w:tc>
      </w:tr>
      <w:tr w:rsidR="002603DF" w:rsidRPr="005C1827" w14:paraId="47B07A16" w14:textId="0CEFCEF5" w:rsidTr="00A17778">
        <w:tc>
          <w:tcPr>
            <w:tcW w:w="2407" w:type="dxa"/>
          </w:tcPr>
          <w:p w14:paraId="3FC019F4" w14:textId="77777777" w:rsidR="002603DF" w:rsidRPr="005C1827" w:rsidRDefault="002603DF" w:rsidP="00875EF2">
            <w:pPr>
              <w:spacing w:before="60" w:after="60" w:line="240" w:lineRule="auto"/>
            </w:pPr>
            <w:r w:rsidRPr="005C1827">
              <w:t xml:space="preserve">Πράσινη μετάβαση, </w:t>
            </w:r>
          </w:p>
        </w:tc>
        <w:tc>
          <w:tcPr>
            <w:tcW w:w="6944" w:type="dxa"/>
          </w:tcPr>
          <w:p w14:paraId="66E3457F" w14:textId="5CD06632" w:rsidR="002603DF" w:rsidRPr="005C1827" w:rsidRDefault="002603DF" w:rsidP="00875EF2">
            <w:pPr>
              <w:spacing w:before="60" w:after="60" w:line="240" w:lineRule="auto"/>
            </w:pPr>
            <w:r w:rsidRPr="005C1827">
              <w:t xml:space="preserve">Ύπαρξη προϋπολογισμού επενδύσεων πράσινης μετάβασης, οι οποίες συνεισφέρουν στους πράσινους στόχους (green tagging) του ΕΣΑΑ, τουλάχιστον στο 40% του συνολικού προϋπολογισμού του </w:t>
            </w:r>
            <w:r w:rsidR="00C10812" w:rsidRPr="005C1827">
              <w:t>επενδυτικού σχεδίου</w:t>
            </w:r>
            <w:r w:rsidRPr="005C1827">
              <w:t>.</w:t>
            </w:r>
          </w:p>
        </w:tc>
      </w:tr>
      <w:tr w:rsidR="002603DF" w:rsidRPr="005C1827" w14:paraId="6D7DAB51" w14:textId="37EE17B1" w:rsidTr="00A17778">
        <w:tc>
          <w:tcPr>
            <w:tcW w:w="2407" w:type="dxa"/>
          </w:tcPr>
          <w:p w14:paraId="58486CAA" w14:textId="77777777" w:rsidR="002603DF" w:rsidRPr="005C1827" w:rsidRDefault="002603DF" w:rsidP="00875EF2">
            <w:pPr>
              <w:spacing w:before="60" w:after="60" w:line="240" w:lineRule="auto"/>
            </w:pPr>
            <w:r w:rsidRPr="005C1827">
              <w:t>Ψηφιακός μετασχηματισμός</w:t>
            </w:r>
          </w:p>
        </w:tc>
        <w:tc>
          <w:tcPr>
            <w:tcW w:w="6944" w:type="dxa"/>
          </w:tcPr>
          <w:p w14:paraId="440FB31F" w14:textId="6C8110D7" w:rsidR="002603DF" w:rsidRPr="005C1827" w:rsidRDefault="002603DF" w:rsidP="00875EF2">
            <w:pPr>
              <w:spacing w:before="60" w:after="60" w:line="240" w:lineRule="auto"/>
            </w:pPr>
            <w:r w:rsidRPr="005C1827">
              <w:t xml:space="preserve">Ύπαρξη προϋπολογισμού επενδύσεων ψηφιακού μετασχηματισμού, οι οποίες συνεισφέρουν στους ψηφιακούς στόχους (digital tagging) του ΕΣΑΑ, τουλάχιστον στο 20% του συνολικού προϋπολογισμού του </w:t>
            </w:r>
            <w:r w:rsidR="00623BEA" w:rsidRPr="005C1827">
              <w:t>επενδυτικο</w:t>
            </w:r>
            <w:r w:rsidR="00A2665B" w:rsidRPr="005C1827">
              <w:t>ύ σχεδίου</w:t>
            </w:r>
            <w:r w:rsidRPr="005C1827">
              <w:t>.</w:t>
            </w:r>
          </w:p>
        </w:tc>
      </w:tr>
      <w:tr w:rsidR="002603DF" w:rsidRPr="005C1827" w14:paraId="025A4C8D" w14:textId="29579397" w:rsidTr="00A17778">
        <w:tc>
          <w:tcPr>
            <w:tcW w:w="2407" w:type="dxa"/>
          </w:tcPr>
          <w:p w14:paraId="09224268" w14:textId="77777777" w:rsidR="002603DF" w:rsidRPr="005C1827" w:rsidRDefault="002603DF" w:rsidP="00875EF2">
            <w:pPr>
              <w:spacing w:before="60" w:after="60" w:line="240" w:lineRule="auto"/>
            </w:pPr>
            <w:r w:rsidRPr="005C1827">
              <w:t>Καινοτομία, έρευνα &amp; ανάπτυξη</w:t>
            </w:r>
          </w:p>
        </w:tc>
        <w:tc>
          <w:tcPr>
            <w:tcW w:w="6944" w:type="dxa"/>
          </w:tcPr>
          <w:p w14:paraId="6605EBA7" w14:textId="77777777" w:rsidR="002603DF" w:rsidRPr="005C1827" w:rsidRDefault="002603DF" w:rsidP="00875EF2">
            <w:pPr>
              <w:spacing w:before="60" w:after="60" w:line="240" w:lineRule="auto"/>
            </w:pPr>
            <w:r w:rsidRPr="005C1827">
              <w:t>Κάλυψη επιλεξιμότητας ενός τουλάχιστον δείκτη καινοτομίας – έρευνας &amp; ανάπτυξης και ταυτόχρονα ύπαρξη ελάχιστου προϋπολογισμού επενδύσεων καινοτομίας – έρευνας &amp; ανάπτυξης τουλάχιστον στο 20% του συνολικού προϋπολογισμού του ΕΣ</w:t>
            </w:r>
            <w:r w:rsidR="00FF506A" w:rsidRPr="005C1827">
              <w:t>. Οι δείκτες είναι:</w:t>
            </w:r>
          </w:p>
          <w:p w14:paraId="6BBE6204" w14:textId="5CB16FF7" w:rsidR="00FF506A" w:rsidRPr="005C1827" w:rsidRDefault="00DA5EC6" w:rsidP="00875EF2">
            <w:pPr>
              <w:spacing w:before="60" w:after="60" w:line="240" w:lineRule="auto"/>
            </w:pPr>
            <w:r w:rsidRPr="005C1827">
              <w:t xml:space="preserve">Δείκτες </w:t>
            </w:r>
            <w:r w:rsidR="00FF506A" w:rsidRPr="005C1827">
              <w:t>Καινοτομία</w:t>
            </w:r>
            <w:r w:rsidRPr="005C1827">
              <w:t>ς:</w:t>
            </w:r>
          </w:p>
          <w:p w14:paraId="0F698256" w14:textId="49B7C1AA" w:rsidR="00DA5EC6" w:rsidRPr="005C1827" w:rsidRDefault="00DA5EC6" w:rsidP="00875EF2">
            <w:pPr>
              <w:pStyle w:val="a8"/>
              <w:numPr>
                <w:ilvl w:val="0"/>
                <w:numId w:val="46"/>
              </w:numPr>
              <w:spacing w:line="240" w:lineRule="auto"/>
            </w:pPr>
            <w:r w:rsidRPr="005C1827">
              <w:t>Χρηματοδότηση διδακτορικών ερευνητών επιστημών, τεχνολογίας, μηχανικής και μαθηματικών (STEM) από το ΕΣ</w:t>
            </w:r>
          </w:p>
          <w:p w14:paraId="5DB9E7CB" w14:textId="3329322D" w:rsidR="00DA5EC6" w:rsidRPr="005C1827" w:rsidRDefault="00DA5EC6" w:rsidP="00875EF2">
            <w:pPr>
              <w:pStyle w:val="a8"/>
              <w:numPr>
                <w:ilvl w:val="0"/>
                <w:numId w:val="46"/>
              </w:numPr>
              <w:spacing w:line="240" w:lineRule="auto"/>
            </w:pPr>
            <w:r w:rsidRPr="005C1827">
              <w:t>Ποσοστό των νέων θέσεων εργασίας STEM ως προς το σύνολο των νέων θέσεων εργασίας που δημιουργεί το ΕΣ</w:t>
            </w:r>
          </w:p>
          <w:p w14:paraId="3FFE4CAF" w14:textId="6D15C00D" w:rsidR="00DA5EC6" w:rsidRPr="005C1827" w:rsidRDefault="47AD1C47" w:rsidP="00875EF2">
            <w:pPr>
              <w:pStyle w:val="a8"/>
              <w:numPr>
                <w:ilvl w:val="0"/>
                <w:numId w:val="46"/>
              </w:numPr>
              <w:spacing w:line="240" w:lineRule="auto"/>
            </w:pPr>
            <w:r w:rsidRPr="005C1827">
              <w:t>Επενδυτικό</w:t>
            </w:r>
            <w:r w:rsidR="00DA5EC6" w:rsidRPr="005C1827">
              <w:t xml:space="preserve"> σχέδιο μικρομεσαίας επιχείρησης με το οποίο δημιουργείται νέο προϊόν (όχι νέο brand)</w:t>
            </w:r>
          </w:p>
          <w:p w14:paraId="19D0ABAB" w14:textId="46604BD1" w:rsidR="00DA5EC6" w:rsidRPr="005C1827" w:rsidRDefault="00DA5EC6" w:rsidP="00875EF2">
            <w:pPr>
              <w:pStyle w:val="a8"/>
              <w:numPr>
                <w:ilvl w:val="0"/>
                <w:numId w:val="46"/>
              </w:numPr>
              <w:spacing w:line="240" w:lineRule="auto"/>
            </w:pPr>
            <w:r w:rsidRPr="005C1827">
              <w:t>Επενδυτικο σχέδιο μικρομεσαίας επιχείρησης με το οποίο δημιουργείται νέα υπηρεσία (όχι νέο brand)</w:t>
            </w:r>
          </w:p>
          <w:p w14:paraId="75568DA5" w14:textId="2A297F37" w:rsidR="00DA5EC6" w:rsidRPr="005C1827" w:rsidRDefault="00F61C6F" w:rsidP="00875EF2">
            <w:pPr>
              <w:pStyle w:val="a8"/>
              <w:numPr>
                <w:ilvl w:val="0"/>
                <w:numId w:val="46"/>
              </w:numPr>
              <w:spacing w:line="240" w:lineRule="auto"/>
            </w:pPr>
            <w:r w:rsidRPr="005C1827">
              <w:t>Το επενδυτικό σχέδιο</w:t>
            </w:r>
            <w:r w:rsidR="00DA5EC6" w:rsidRPr="005C1827">
              <w:t xml:space="preserve"> προβλέπει δαπάνες κατοχύρωσης trademark σε μια χώρα του συστήματος MADRID, εφόσον δημιουργεί νέο προϊόν ή νέα υπηρεσία</w:t>
            </w:r>
          </w:p>
          <w:p w14:paraId="1484DA92" w14:textId="4886D6AA" w:rsidR="00DA5EC6" w:rsidRPr="005C1827" w:rsidRDefault="00F61C6F" w:rsidP="00875EF2">
            <w:pPr>
              <w:pStyle w:val="a8"/>
              <w:numPr>
                <w:ilvl w:val="0"/>
                <w:numId w:val="46"/>
              </w:numPr>
              <w:spacing w:line="240" w:lineRule="auto"/>
            </w:pPr>
            <w:r w:rsidRPr="005C1827">
              <w:t>Το επενδυτικό σχέδιο</w:t>
            </w:r>
            <w:r w:rsidR="00DA5EC6" w:rsidRPr="005C1827">
              <w:t xml:space="preserve"> προβλέπει δαπάνες κατοχύρωσης design σε μια χώρα του συστήματος HAGUE </w:t>
            </w:r>
          </w:p>
          <w:p w14:paraId="47C1CE9B" w14:textId="52F85DE0" w:rsidR="00DA5EC6" w:rsidRPr="005C1827" w:rsidRDefault="00DA5EC6" w:rsidP="00875EF2">
            <w:pPr>
              <w:pStyle w:val="a8"/>
              <w:numPr>
                <w:ilvl w:val="0"/>
                <w:numId w:val="46"/>
              </w:numPr>
              <w:spacing w:line="240" w:lineRule="auto"/>
            </w:pPr>
            <w:r w:rsidRPr="005C1827">
              <w:t xml:space="preserve">Ποσοστό πωλήσεων </w:t>
            </w:r>
            <w:r w:rsidR="00F61C6F" w:rsidRPr="005C1827">
              <w:t>στο εξωτερικό προϊόντων από το επενδυτικό σχέδιο</w:t>
            </w:r>
            <w:r w:rsidRPr="005C1827">
              <w:t xml:space="preserve"> στις κατηγορίες ΚΑΔ 21, 26, 27, 28, 29 και 30</w:t>
            </w:r>
          </w:p>
          <w:p w14:paraId="4B150DBD" w14:textId="5E31FE83" w:rsidR="00DA5EC6" w:rsidRPr="005C1827" w:rsidRDefault="00DA5EC6" w:rsidP="00875EF2">
            <w:pPr>
              <w:pStyle w:val="a8"/>
              <w:numPr>
                <w:ilvl w:val="0"/>
                <w:numId w:val="46"/>
              </w:numPr>
              <w:spacing w:line="240" w:lineRule="auto"/>
            </w:pPr>
            <w:r w:rsidRPr="005C1827">
              <w:lastRenderedPageBreak/>
              <w:t>Ποσοστό πωλήσεων στο εξω</w:t>
            </w:r>
            <w:r w:rsidR="00F61C6F" w:rsidRPr="005C1827">
              <w:t>τερικό υπηρεσιών από το επενδυτικό σχέδιο</w:t>
            </w:r>
            <w:r w:rsidRPr="005C1827">
              <w:t xml:space="preserve"> στις κατηγορίες ΚΑΔ 58.2, 62, 63, 71.2 και 72</w:t>
            </w:r>
          </w:p>
          <w:p w14:paraId="00917D71" w14:textId="4912FADD" w:rsidR="00FF506A" w:rsidRPr="005C1827" w:rsidRDefault="00DA5EC6" w:rsidP="00875EF2">
            <w:pPr>
              <w:spacing w:before="60" w:after="60" w:line="240" w:lineRule="auto"/>
            </w:pPr>
            <w:r w:rsidRPr="005C1827">
              <w:t xml:space="preserve">Δείκτες </w:t>
            </w:r>
            <w:r w:rsidR="00FF506A" w:rsidRPr="005C1827">
              <w:t>Έρευνα</w:t>
            </w:r>
            <w:r w:rsidRPr="005C1827">
              <w:t>ς</w:t>
            </w:r>
            <w:r w:rsidR="00FF506A" w:rsidRPr="005C1827">
              <w:t xml:space="preserve"> &amp; Ανάπτυξη</w:t>
            </w:r>
            <w:r w:rsidRPr="005C1827">
              <w:t>ς:</w:t>
            </w:r>
          </w:p>
          <w:p w14:paraId="54B32726" w14:textId="7D3C6355" w:rsidR="00DA5EC6" w:rsidRPr="005C1827" w:rsidRDefault="00DA5EC6" w:rsidP="00875EF2">
            <w:pPr>
              <w:pStyle w:val="a8"/>
              <w:numPr>
                <w:ilvl w:val="0"/>
                <w:numId w:val="46"/>
              </w:numPr>
              <w:spacing w:line="240" w:lineRule="auto"/>
            </w:pPr>
            <w:r w:rsidRPr="005C1827">
              <w:t>Το αντικείμενο της έρευνας θα πρέπει να σχετίζεται με τις θεματικές ενότητες του Horizon Europe</w:t>
            </w:r>
          </w:p>
          <w:p w14:paraId="77F1B48B" w14:textId="23A95873" w:rsidR="00DA5EC6" w:rsidRPr="005C1827" w:rsidRDefault="00DA5EC6" w:rsidP="00875EF2">
            <w:pPr>
              <w:pStyle w:val="a8"/>
              <w:numPr>
                <w:ilvl w:val="0"/>
                <w:numId w:val="46"/>
              </w:numPr>
              <w:spacing w:line="240" w:lineRule="auto"/>
            </w:pPr>
            <w:r w:rsidRPr="005C1827">
              <w:t>Το αντικείμενο της έρευνας θα πρέπει να σχετίζεται με τις θεματικές ενότητες της στρατηγικής ευφυούς εξειδίκευσης της Ελλάδας (RIS3)</w:t>
            </w:r>
          </w:p>
          <w:p w14:paraId="0EA82D3D" w14:textId="7800B0F1" w:rsidR="00DA5EC6" w:rsidRPr="005C1827" w:rsidRDefault="00DA5EC6" w:rsidP="00875EF2">
            <w:pPr>
              <w:pStyle w:val="a8"/>
              <w:numPr>
                <w:ilvl w:val="0"/>
                <w:numId w:val="46"/>
              </w:numPr>
              <w:spacing w:line="240" w:lineRule="auto"/>
            </w:pPr>
            <w:r w:rsidRPr="005C1827">
              <w:t xml:space="preserve">Το </w:t>
            </w:r>
            <w:r w:rsidR="00F61C6F" w:rsidRPr="005C1827">
              <w:t xml:space="preserve">επενδυτικό σχέδιο </w:t>
            </w:r>
            <w:r w:rsidRPr="005C1827">
              <w:t>προβλέπει τη διεξαγωγή συστηματικής βιομηχανικής έρευνας ή / και πειραματικής ανάπτυξης.</w:t>
            </w:r>
          </w:p>
          <w:p w14:paraId="64DC30A2" w14:textId="11447B15" w:rsidR="00DA5EC6" w:rsidRPr="005C1827" w:rsidRDefault="00DA5EC6" w:rsidP="00875EF2">
            <w:pPr>
              <w:pStyle w:val="a8"/>
              <w:numPr>
                <w:ilvl w:val="0"/>
                <w:numId w:val="46"/>
              </w:numPr>
              <w:spacing w:line="240" w:lineRule="auto"/>
            </w:pPr>
            <w:r w:rsidRPr="005C1827">
              <w:t xml:space="preserve">Το </w:t>
            </w:r>
            <w:r w:rsidR="00F61C6F" w:rsidRPr="005C1827">
              <w:t xml:space="preserve">επενδυτικό σχέδιο </w:t>
            </w:r>
            <w:r w:rsidRPr="005C1827">
              <w:t>προβλέπει τη διεξαγωγή της έρευνας από έμπειρη ερευνητική ομάδα με πολυετή εμπειρία στο αντικείμενο του επενδυτικού σχεδίου.</w:t>
            </w:r>
          </w:p>
          <w:p w14:paraId="6E42AEE2" w14:textId="2CDF46E7" w:rsidR="00DA5EC6" w:rsidRPr="005C1827" w:rsidRDefault="00DA5EC6" w:rsidP="00875EF2">
            <w:pPr>
              <w:pStyle w:val="a8"/>
              <w:numPr>
                <w:ilvl w:val="0"/>
                <w:numId w:val="46"/>
              </w:numPr>
              <w:spacing w:line="240" w:lineRule="auto"/>
            </w:pPr>
            <w:r w:rsidRPr="005C1827">
              <w:t>Το αντικείμενο της έρευνας στοχεύει στην δημιουργία νέων προϊόντων / υπηρεσιών ή τη σημαντική βελτίωση υφιστάμενων προϊόντων / υπηρεσιών.</w:t>
            </w:r>
          </w:p>
          <w:p w14:paraId="0F3C13DC" w14:textId="5217421A" w:rsidR="00DA5EC6" w:rsidRPr="005C1827" w:rsidRDefault="00DA5EC6" w:rsidP="00875EF2">
            <w:pPr>
              <w:pStyle w:val="a8"/>
              <w:numPr>
                <w:ilvl w:val="0"/>
                <w:numId w:val="46"/>
              </w:numPr>
              <w:spacing w:line="240" w:lineRule="auto"/>
            </w:pPr>
            <w:r w:rsidRPr="005C1827">
              <w:t>Το αντικείμενο της έρευνας στοχεύει στη δημιουργία νέων ή στη σημαντική βελτίωση υφισταμένων μεθόδων παραγωγής, διάθεσης και εφαρμογής των προϊόντων  / υπηρεσιών.</w:t>
            </w:r>
          </w:p>
          <w:p w14:paraId="0ED286DD" w14:textId="1BA32811" w:rsidR="00DA5EC6" w:rsidRPr="005C1827" w:rsidRDefault="00DA5EC6" w:rsidP="00875EF2">
            <w:pPr>
              <w:pStyle w:val="a8"/>
              <w:numPr>
                <w:ilvl w:val="0"/>
                <w:numId w:val="46"/>
              </w:numPr>
              <w:spacing w:line="240" w:lineRule="auto"/>
            </w:pPr>
            <w:r w:rsidRPr="005C1827">
              <w:t>Ο επενδυτής ή / και οι κύριοι ερευνητές της ερευνητικής ομάδας έχουν συμμετάσχει σε ερευνητικά προγράμματα που συγχρηματοδοτούνται από το Ελληνικό δημόσιο ή την Ευρωπαϊκή Επιτροπή ή από άλλη χώρα του ΟΟΣΑ κατά την πενταετία πριν την αίτηση δανειοδότησης.</w:t>
            </w:r>
          </w:p>
          <w:p w14:paraId="3D8C78A5" w14:textId="07EF05D3" w:rsidR="00DA5EC6" w:rsidRPr="005C1827" w:rsidRDefault="00DA5EC6" w:rsidP="00875EF2">
            <w:pPr>
              <w:pStyle w:val="a8"/>
              <w:numPr>
                <w:ilvl w:val="0"/>
                <w:numId w:val="46"/>
              </w:numPr>
              <w:spacing w:line="240" w:lineRule="auto"/>
            </w:pPr>
            <w:r w:rsidRPr="005C1827">
              <w:t>Ο επενδυτής έχει λάβει βεβαιώσεις δαπανών επιστημονικής και τεχνολογικής έρευνας από την ΓΓΕΚ (πρώην ΓΓΕΤ), κατά την πενταετία πριν την αίτηση δανειοδότησης, στις οποίες περιλαμβάνονται δαπάνες των κυρίων ερευνητών της ερευνητικής ομάδας.</w:t>
            </w:r>
          </w:p>
          <w:p w14:paraId="1FC5CDD7" w14:textId="752FA677" w:rsidR="00DA5EC6" w:rsidRPr="005C1827" w:rsidRDefault="00DA5EC6" w:rsidP="00875EF2">
            <w:pPr>
              <w:pStyle w:val="a8"/>
              <w:numPr>
                <w:ilvl w:val="0"/>
                <w:numId w:val="46"/>
              </w:numPr>
              <w:spacing w:line="240" w:lineRule="auto"/>
            </w:pPr>
            <w:r w:rsidRPr="005C1827">
              <w:t xml:space="preserve">Το </w:t>
            </w:r>
            <w:r w:rsidR="00F61C6F" w:rsidRPr="005C1827">
              <w:t xml:space="preserve">επενδυτικό σχέδιο </w:t>
            </w:r>
            <w:r w:rsidRPr="005C1827">
              <w:t>προβλέπει δαπάνες κατοχύρωσης ευρεσιτεχνίας σε μια χώρα του συστήματος PCT</w:t>
            </w:r>
          </w:p>
        </w:tc>
      </w:tr>
      <w:tr w:rsidR="002603DF" w:rsidRPr="005C1827" w14:paraId="34B46024" w14:textId="02767D9D" w:rsidTr="00A17778">
        <w:tc>
          <w:tcPr>
            <w:tcW w:w="2407" w:type="dxa"/>
          </w:tcPr>
          <w:p w14:paraId="5D377C9C" w14:textId="77777777" w:rsidR="002603DF" w:rsidRPr="005C1827" w:rsidRDefault="002603DF" w:rsidP="00875EF2">
            <w:pPr>
              <w:spacing w:before="60" w:after="60" w:line="240" w:lineRule="auto"/>
            </w:pPr>
            <w:r w:rsidRPr="005C1827">
              <w:lastRenderedPageBreak/>
              <w:t>Ανάπτυξη οικονομιών κλίμακας μέσω συνεργασιών, εξαγορών και συγχωνεύσεων</w:t>
            </w:r>
          </w:p>
        </w:tc>
        <w:tc>
          <w:tcPr>
            <w:tcW w:w="6944" w:type="dxa"/>
          </w:tcPr>
          <w:p w14:paraId="2AC9F03E" w14:textId="6D10EDA5" w:rsidR="00F23AC7" w:rsidRPr="005C1827" w:rsidRDefault="00F23AC7" w:rsidP="00875EF2">
            <w:pPr>
              <w:spacing w:before="60" w:after="60" w:line="240" w:lineRule="auto"/>
            </w:pPr>
            <w:r w:rsidRPr="005C1827">
              <w:t xml:space="preserve">Ύπαρξη υφιστάμενης ή νέας συνεργασίας, είτε δημιουργία νέου σχήματος που προκύπτει από εξαγορά / συγχώνευση. Ως συνεργασία νοείται η δραστηριότητα που διέπεται από μακροχρόνιες (με συμβατική ή πραγματική διάρκεια μεγαλύτερη της πενταετίας) δεσμευτικού χαρακτήρα συμβάσεις συνεργασίας μεταξύ μη-συνδεδεμένων επιχειρήσεων με σκοπό την από κοινού προώθηση επιχειρηματικών δραστηριοτήτων (προμηθευτικές συνεργασίες, εξαγωγικές συνεργασίες, συμβολαιακή γεωργία, </w:t>
            </w:r>
            <w:r w:rsidR="005837FD" w:rsidRPr="005C1827">
              <w:t>δικαιόχρηση (</w:t>
            </w:r>
            <w:r w:rsidR="005837FD" w:rsidRPr="005C1827">
              <w:rPr>
                <w:lang w:val="en-US"/>
              </w:rPr>
              <w:t>franchise</w:t>
            </w:r>
            <w:r w:rsidR="005837FD" w:rsidRPr="005C1827">
              <w:t>)</w:t>
            </w:r>
            <w:r w:rsidRPr="005C1827">
              <w:t>, κοινά έργα έρευνας και ανάπτυξη</w:t>
            </w:r>
            <w:r w:rsidR="00CA4603" w:rsidRPr="005C1827">
              <w:t>ς</w:t>
            </w:r>
            <w:r w:rsidRPr="005C1827">
              <w:t>, μεταξύ άλλων), είτε με τη δημιουργία νομικών προσώπων με τις ίδιες ανωτέρω επιδιώξεις (κοινοπραξίες, συνεταιρισμοί, οργανώσεις και ομάδες παραγωγών ανεξαρτήτως νομικού τύπου, μεταξύ άλλων).</w:t>
            </w:r>
          </w:p>
          <w:p w14:paraId="49118F69" w14:textId="03C5A751" w:rsidR="002603DF" w:rsidRPr="005C1827" w:rsidRDefault="00F23AC7" w:rsidP="00875EF2">
            <w:pPr>
              <w:spacing w:before="60" w:after="60" w:line="240" w:lineRule="auto"/>
            </w:pPr>
            <w:r w:rsidRPr="005C1827">
              <w:t xml:space="preserve">Η επιλεξιμότητα των </w:t>
            </w:r>
            <w:r w:rsidR="000E44CC" w:rsidRPr="005C1827">
              <w:t>επενδυτικών σχεδίων</w:t>
            </w:r>
            <w:r w:rsidRPr="005C1827">
              <w:t xml:space="preserve"> καθορίζεται ως εξής: </w:t>
            </w:r>
          </w:p>
          <w:p w14:paraId="3F526AE3" w14:textId="348823A9" w:rsidR="005C19DC" w:rsidRPr="005C1827" w:rsidRDefault="005C19DC" w:rsidP="00875EF2">
            <w:pPr>
              <w:spacing w:before="60" w:after="60" w:line="240" w:lineRule="auto"/>
            </w:pPr>
            <w:r w:rsidRPr="005C1827">
              <w:t>Συνεργασίες (υφιστάμενες)</w:t>
            </w:r>
          </w:p>
          <w:p w14:paraId="2B24FCFF" w14:textId="3B55B9FD" w:rsidR="005C19DC" w:rsidRPr="005C1827" w:rsidRDefault="005C19DC" w:rsidP="00875EF2">
            <w:pPr>
              <w:pStyle w:val="a8"/>
              <w:numPr>
                <w:ilvl w:val="0"/>
                <w:numId w:val="47"/>
              </w:numPr>
              <w:spacing w:line="240" w:lineRule="auto"/>
            </w:pPr>
            <w:r w:rsidRPr="005C1827">
              <w:t xml:space="preserve">Το </w:t>
            </w:r>
            <w:r w:rsidR="000E44CC" w:rsidRPr="005C1827">
              <w:t>επενδυτικό σχέδιο</w:t>
            </w:r>
            <w:r w:rsidRPr="005C1827">
              <w:t xml:space="preserve"> περιλαμβάνει δέσμευση του επενδυτή ότι θα συνεχίσει να μετέχει σ</w:t>
            </w:r>
            <w:r w:rsidR="00385945" w:rsidRPr="005C1827">
              <w:t xml:space="preserve">ε υφιστάμενο συνεργατικό σχηματισμό μεταξύ μη-συνδεδεμένων επιχειρήσεων, τουλάχιστον </w:t>
            </w:r>
            <w:r w:rsidRPr="005C1827">
              <w:t>κατά την επόμενη πενταετία.</w:t>
            </w:r>
          </w:p>
          <w:p w14:paraId="450A7BE2" w14:textId="261C0A07" w:rsidR="005C19DC" w:rsidRPr="005C1827" w:rsidRDefault="005C19DC" w:rsidP="00875EF2">
            <w:pPr>
              <w:pStyle w:val="a8"/>
              <w:numPr>
                <w:ilvl w:val="0"/>
                <w:numId w:val="47"/>
              </w:numPr>
              <w:spacing w:line="240" w:lineRule="auto"/>
            </w:pPr>
            <w:r w:rsidRPr="005C1827">
              <w:t>Ο μέσος συνολικός κύκλος εργασιών των νομικών προσώπων που μετέχουν στην συνεργασία κατά τα τρία (3) προηγούμενα έτη, είναι μεγαλύτερος τουλάχιστον κατά 50% του κύκλου εργασιών του νομικού προσώπου με τον μεγαλύτερο μέσο κύκλο εργασιών μεταξύ των νομικών προσώπων που μετέχουν στην συνεργασία κατά την ίδια περίοδο.</w:t>
            </w:r>
          </w:p>
          <w:p w14:paraId="65CCD7F1" w14:textId="0CB1138D" w:rsidR="005C19DC" w:rsidRPr="005C1827" w:rsidRDefault="005C19DC" w:rsidP="00875EF2">
            <w:pPr>
              <w:pStyle w:val="a8"/>
              <w:numPr>
                <w:ilvl w:val="0"/>
                <w:numId w:val="47"/>
              </w:numPr>
              <w:spacing w:line="240" w:lineRule="auto"/>
            </w:pPr>
            <w:r w:rsidRPr="005C1827">
              <w:t xml:space="preserve">Τουλάχιστον </w:t>
            </w:r>
            <w:r w:rsidR="00E12269" w:rsidRPr="005C1827">
              <w:t>το 20% των</w:t>
            </w:r>
            <w:r w:rsidR="0028629F" w:rsidRPr="005C1827">
              <w:t xml:space="preserve"> επιλέξιμων</w:t>
            </w:r>
            <w:r w:rsidR="00E12269" w:rsidRPr="005C1827">
              <w:t xml:space="preserve"> δαπανών του </w:t>
            </w:r>
            <w:r w:rsidR="000E44CC" w:rsidRPr="005C1827">
              <w:t>επενδυτικού σχεδίου</w:t>
            </w:r>
            <w:r w:rsidR="00E12269" w:rsidRPr="005C1827">
              <w:t xml:space="preserve"> αφορούν τις επενδυτικές δαπάνες που γίνονται σύμφωνα με τη </w:t>
            </w:r>
            <w:r w:rsidR="00876AEB" w:rsidRPr="005C1827">
              <w:t>σύ</w:t>
            </w:r>
            <w:r w:rsidR="00E12269" w:rsidRPr="005C1827">
              <w:t xml:space="preserve">μβαση </w:t>
            </w:r>
            <w:r w:rsidR="008177B0" w:rsidRPr="005C1827">
              <w:t>συνεργασίας</w:t>
            </w:r>
            <w:r w:rsidRPr="005C1827">
              <w:t>.</w:t>
            </w:r>
          </w:p>
          <w:p w14:paraId="55A7568A" w14:textId="4FE3E4C6" w:rsidR="005C19DC" w:rsidRPr="005C1827" w:rsidRDefault="005C19DC" w:rsidP="00875EF2">
            <w:pPr>
              <w:spacing w:before="60" w:after="60" w:line="240" w:lineRule="auto"/>
            </w:pPr>
            <w:r w:rsidRPr="005C1827">
              <w:t>Συνεργασίες (νέες)</w:t>
            </w:r>
          </w:p>
          <w:p w14:paraId="1E6F5891" w14:textId="75896321" w:rsidR="00385945" w:rsidRPr="005C1827" w:rsidRDefault="00385945" w:rsidP="00875EF2">
            <w:pPr>
              <w:pStyle w:val="a8"/>
              <w:numPr>
                <w:ilvl w:val="0"/>
                <w:numId w:val="47"/>
              </w:numPr>
              <w:spacing w:line="240" w:lineRule="auto"/>
            </w:pPr>
            <w:r w:rsidRPr="005C1827">
              <w:t xml:space="preserve">Το </w:t>
            </w:r>
            <w:r w:rsidR="000E44CC" w:rsidRPr="005C1827">
              <w:t>επενδυτικό σχέδιο</w:t>
            </w:r>
            <w:r w:rsidRPr="005C1827">
              <w:t xml:space="preserve"> περιλαμβάνει δέσμευση του επενδυτή ότι θα συμμετέχει σε νέο συνεργατικό σχηματισμό</w:t>
            </w:r>
            <w:r w:rsidR="00F23AC7" w:rsidRPr="005C1827">
              <w:t xml:space="preserve"> μεταξύ μη-συνδεδεμένων </w:t>
            </w:r>
            <w:r w:rsidR="00A17778" w:rsidRPr="005C1827">
              <w:t>επιχειρήσεων</w:t>
            </w:r>
            <w:r w:rsidRPr="005C1827">
              <w:t xml:space="preserve">, τουλάχιστον κατά την επόμενη πενταετία. </w:t>
            </w:r>
          </w:p>
          <w:p w14:paraId="7E4742CA" w14:textId="2A43A38A" w:rsidR="00F23AC7" w:rsidRPr="005C1827" w:rsidRDefault="00F23AC7" w:rsidP="00875EF2">
            <w:pPr>
              <w:pStyle w:val="a8"/>
              <w:numPr>
                <w:ilvl w:val="0"/>
                <w:numId w:val="47"/>
              </w:numPr>
              <w:spacing w:line="240" w:lineRule="auto"/>
            </w:pPr>
            <w:r w:rsidRPr="005C1827">
              <w:t>Ο μέσος συνολικός κύκλος εργασιών των νομικών προσώπων που μετέχουν στην συνεργασία κατά τα τρία (3) προηγούμενα έτη, είναι μεγαλύτερος τουλάχιστον κατά 50% του κύκλου εργασιών του νομικού προσώπου με τον μεγαλύτερο μέσο κύκλο εργασιών μεταξύ των νομικών προσώπων που μετέχουν στην συνεργασία κατά την ίδια περίοδο.</w:t>
            </w:r>
          </w:p>
          <w:p w14:paraId="3F5E5CF5" w14:textId="1428422E" w:rsidR="00F23AC7" w:rsidRPr="005C1827" w:rsidRDefault="008177B0" w:rsidP="00875EF2">
            <w:pPr>
              <w:pStyle w:val="a8"/>
              <w:numPr>
                <w:ilvl w:val="0"/>
                <w:numId w:val="47"/>
              </w:numPr>
              <w:spacing w:line="240" w:lineRule="auto"/>
            </w:pPr>
            <w:r w:rsidRPr="005C1827">
              <w:t xml:space="preserve">Τουλάχιστον το 20% των </w:t>
            </w:r>
            <w:r w:rsidR="0028629F" w:rsidRPr="005C1827">
              <w:t xml:space="preserve">επιλέξιμων </w:t>
            </w:r>
            <w:r w:rsidRPr="005C1827">
              <w:t xml:space="preserve">δαπανών του </w:t>
            </w:r>
            <w:r w:rsidR="00BB034D" w:rsidRPr="005C1827">
              <w:t>επενδυτικού σχεδίου</w:t>
            </w:r>
            <w:r w:rsidRPr="005C1827">
              <w:t xml:space="preserve"> αφορούν τις επενδυτικές δαπάνες που γίνονται σύμφωνα με τη σύμβαση συνεργασίας.</w:t>
            </w:r>
          </w:p>
          <w:p w14:paraId="5C3FA56E" w14:textId="77777777" w:rsidR="00F064FB" w:rsidRPr="005C1827" w:rsidRDefault="00F064FB" w:rsidP="00875EF2">
            <w:pPr>
              <w:spacing w:before="60" w:after="60" w:line="240" w:lineRule="auto"/>
            </w:pPr>
            <w:r w:rsidRPr="005C1827">
              <w:t>Εξαγορές και συγχωνεύσεις</w:t>
            </w:r>
          </w:p>
          <w:p w14:paraId="5D030A25" w14:textId="6D71F964" w:rsidR="00F064FB" w:rsidRPr="005C1827" w:rsidRDefault="00F064FB" w:rsidP="00875EF2">
            <w:pPr>
              <w:pStyle w:val="a8"/>
              <w:numPr>
                <w:ilvl w:val="0"/>
                <w:numId w:val="47"/>
              </w:numPr>
              <w:spacing w:line="240" w:lineRule="auto"/>
            </w:pPr>
            <w:r w:rsidRPr="005C1827">
              <w:lastRenderedPageBreak/>
              <w:t xml:space="preserve">Το </w:t>
            </w:r>
            <w:r w:rsidR="00BB034D" w:rsidRPr="005C1827">
              <w:t>επενδυτικό σχέδιο</w:t>
            </w:r>
            <w:r w:rsidRPr="005C1827">
              <w:t xml:space="preserve"> περιλαμβάνει νέο σχήμα, το οποίο προκύπτει από εξαγορά ή συγχώνευση η οποία ολοκληρώθηκε κατόπιν της δημοσίευσης της Υπουργικής Απόφασης. </w:t>
            </w:r>
          </w:p>
          <w:p w14:paraId="16BD8E9C" w14:textId="4F619042" w:rsidR="00FF506A" w:rsidRPr="005C1827" w:rsidRDefault="00F064FB" w:rsidP="00875EF2">
            <w:pPr>
              <w:pStyle w:val="a8"/>
              <w:numPr>
                <w:ilvl w:val="0"/>
                <w:numId w:val="47"/>
              </w:numPr>
              <w:spacing w:line="240" w:lineRule="auto"/>
            </w:pPr>
            <w:r w:rsidRPr="005C1827">
              <w:t xml:space="preserve">Ο μέσος συνολικός κύκλος εργασιών των νομικών προσώπων που μετέχουν στην συγχώνευση ή εξαγορά κατά τα τρία (3) προηγούμενα έτη είναι μεγαλύτερος κατά τουλάχιστον 50% του κύκλου εργασιών του νομικού προσώπου με το μεγαλύτερο μέσο κύκλο εργασιών μεταξύ των νομικών προσώπων που μετέχουν στην εξαγορά ή συγχώνευση κατά την ίδια περίοδο.  </w:t>
            </w:r>
          </w:p>
        </w:tc>
      </w:tr>
      <w:tr w:rsidR="002603DF" w:rsidRPr="005C1827" w14:paraId="4FAF8FA2" w14:textId="0114AE5A" w:rsidTr="00A17778">
        <w:tc>
          <w:tcPr>
            <w:tcW w:w="2407" w:type="dxa"/>
          </w:tcPr>
          <w:p w14:paraId="06D90C0A" w14:textId="77777777" w:rsidR="002603DF" w:rsidRPr="005C1827" w:rsidRDefault="002603DF" w:rsidP="00875EF2">
            <w:pPr>
              <w:spacing w:before="60" w:after="60" w:line="240" w:lineRule="auto"/>
            </w:pPr>
            <w:r w:rsidRPr="005C1827">
              <w:lastRenderedPageBreak/>
              <w:t>Εξωστρέφεια</w:t>
            </w:r>
          </w:p>
        </w:tc>
        <w:tc>
          <w:tcPr>
            <w:tcW w:w="6944" w:type="dxa"/>
          </w:tcPr>
          <w:p w14:paraId="37619C45" w14:textId="0EBA178E" w:rsidR="002603DF" w:rsidRPr="005C1827" w:rsidRDefault="00DA54CA" w:rsidP="00875EF2">
            <w:pPr>
              <w:spacing w:before="60" w:after="60" w:line="240" w:lineRule="auto"/>
            </w:pPr>
            <w:r w:rsidRPr="005C1827">
              <w:t xml:space="preserve">Η επιλεξιμότητα των </w:t>
            </w:r>
            <w:r w:rsidR="00F61C6F" w:rsidRPr="005C1827">
              <w:t xml:space="preserve">επενδυτικών σχεδίων </w:t>
            </w:r>
            <w:r w:rsidRPr="005C1827">
              <w:t>καθορίζεται με την ύ</w:t>
            </w:r>
            <w:r w:rsidR="002603DF" w:rsidRPr="005C1827">
              <w:t>παρξη εναλλακτικά:</w:t>
            </w:r>
          </w:p>
          <w:p w14:paraId="36B4CD8C" w14:textId="0BE6A670" w:rsidR="002603DF" w:rsidRPr="005C1827" w:rsidRDefault="002603DF" w:rsidP="00875EF2">
            <w:pPr>
              <w:spacing w:before="60" w:after="60" w:line="240" w:lineRule="auto"/>
            </w:pPr>
            <w:r w:rsidRPr="005C1827">
              <w:t>α. Μέσου όρου υφιστάμενης εξαγωγικής δραστηριότητας επενδυτή τουλάχιστον στο 20% του κύκλου εργασιών</w:t>
            </w:r>
            <w:r w:rsidR="00FF506A" w:rsidRPr="005C1827">
              <w:t xml:space="preserve"> του. Εξετάζονται τα </w:t>
            </w:r>
            <w:r w:rsidRPr="005C1827">
              <w:t>οικονομ</w:t>
            </w:r>
            <w:r w:rsidR="00FF506A" w:rsidRPr="005C1827">
              <w:t xml:space="preserve">ικά στοιχεία τριετίας του επενδυτή, εναλλακτικά </w:t>
            </w:r>
            <w:r w:rsidR="00675112">
              <w:t>το μερίδιο του κύκλου εργασιών το οποίο πραγματοποιείται με πιστωτικές κάρτες εξωτερικού ή εμβάσματα.</w:t>
            </w:r>
          </w:p>
          <w:p w14:paraId="05F79422" w14:textId="1F1B313F" w:rsidR="002603DF" w:rsidRPr="005C1827" w:rsidRDefault="002603DF" w:rsidP="00875EF2">
            <w:pPr>
              <w:spacing w:before="60" w:after="60" w:line="240" w:lineRule="auto"/>
            </w:pPr>
            <w:r w:rsidRPr="005C1827">
              <w:t xml:space="preserve">β. Ελάχιστου προϋπολογισμού εξαγωγών του </w:t>
            </w:r>
            <w:r w:rsidR="00F61C6F" w:rsidRPr="005C1827">
              <w:t xml:space="preserve">επενδυτικού σχεδίου </w:t>
            </w:r>
            <w:r w:rsidRPr="005C1827">
              <w:t xml:space="preserve">τουλάχιστον στο 20% των προβλεπόμενων συνολικών εσόδων του </w:t>
            </w:r>
            <w:r w:rsidR="00F61C6F" w:rsidRPr="005C1827">
              <w:t xml:space="preserve">επενδυτικού σχεδίου </w:t>
            </w:r>
            <w:r w:rsidRPr="005C1827">
              <w:t>(μελέτη βιωσιμότητας)</w:t>
            </w:r>
          </w:p>
          <w:p w14:paraId="1171553E" w14:textId="35B3EEE2" w:rsidR="005837FD" w:rsidRPr="005C1827" w:rsidRDefault="003D220E" w:rsidP="00875EF2">
            <w:pPr>
              <w:spacing w:before="60" w:after="60" w:line="240" w:lineRule="auto"/>
            </w:pPr>
            <w:r w:rsidRPr="005C1827">
              <w:rPr>
                <w:rFonts w:asciiTheme="minorHAnsi" w:eastAsia="Times New Roman" w:hAnsiTheme="minorHAnsi" w:cstheme="minorHAnsi"/>
                <w:szCs w:val="18"/>
              </w:rPr>
              <w:t xml:space="preserve">Αυτοτελώς, είναι επιλέξιμα τα </w:t>
            </w:r>
            <w:r w:rsidR="00F61C6F" w:rsidRPr="005C1827">
              <w:t xml:space="preserve">επενδυτικά σχέδια </w:t>
            </w:r>
            <w:r w:rsidR="005837FD" w:rsidRPr="005C1827">
              <w:rPr>
                <w:rFonts w:asciiTheme="minorHAnsi" w:eastAsia="Times New Roman" w:hAnsiTheme="minorHAnsi" w:cstheme="minorHAnsi"/>
                <w:szCs w:val="18"/>
              </w:rPr>
              <w:t>τουριστικών επενδύσεων</w:t>
            </w:r>
            <w:r w:rsidRPr="005C1827">
              <w:rPr>
                <w:rFonts w:asciiTheme="minorHAnsi" w:eastAsia="Times New Roman" w:hAnsiTheme="minorHAnsi" w:cstheme="minorHAnsi"/>
                <w:szCs w:val="18"/>
              </w:rPr>
              <w:t xml:space="preserve"> </w:t>
            </w:r>
            <w:r w:rsidR="005837FD" w:rsidRPr="005C1827">
              <w:rPr>
                <w:rFonts w:asciiTheme="minorHAnsi" w:eastAsia="Times New Roman" w:hAnsiTheme="minorHAnsi" w:cstheme="minorHAnsi"/>
                <w:szCs w:val="18"/>
              </w:rPr>
              <w:t xml:space="preserve">σύνθετων τουριστικών καταλυμάτων καθώς και συγκροτημάτων τουριστικών κατοικιών (τουλάχιστον 5 ανεξάρτητων </w:t>
            </w:r>
            <w:r w:rsidR="004152D6" w:rsidRPr="005C1827">
              <w:rPr>
                <w:rFonts w:asciiTheme="minorHAnsi" w:eastAsia="Times New Roman" w:hAnsiTheme="minorHAnsi" w:cstheme="minorHAnsi"/>
                <w:szCs w:val="18"/>
              </w:rPr>
              <w:t xml:space="preserve">τουριστικών </w:t>
            </w:r>
            <w:r w:rsidR="005837FD" w:rsidRPr="005C1827">
              <w:rPr>
                <w:rFonts w:asciiTheme="minorHAnsi" w:eastAsia="Times New Roman" w:hAnsiTheme="minorHAnsi" w:cstheme="minorHAnsi"/>
                <w:szCs w:val="18"/>
              </w:rPr>
              <w:t>κατ</w:t>
            </w:r>
            <w:r w:rsidR="006E210B" w:rsidRPr="005C1827">
              <w:rPr>
                <w:rFonts w:asciiTheme="minorHAnsi" w:eastAsia="Times New Roman" w:hAnsiTheme="minorHAnsi" w:cstheme="minorHAnsi"/>
                <w:szCs w:val="18"/>
              </w:rPr>
              <w:t>οικιών)</w:t>
            </w:r>
          </w:p>
        </w:tc>
      </w:tr>
    </w:tbl>
    <w:p w14:paraId="0E590E5F" w14:textId="37C59126" w:rsidR="001268E3" w:rsidRPr="005C1827" w:rsidRDefault="00D84A6E" w:rsidP="00D84A6E">
      <w:pPr>
        <w:pStyle w:val="2"/>
        <w:rPr>
          <w:color w:val="auto"/>
        </w:rPr>
      </w:pPr>
      <w:bookmarkStart w:id="8" w:name="_Toc83050012"/>
      <w:r w:rsidRPr="005C1827">
        <w:rPr>
          <w:color w:val="auto"/>
        </w:rPr>
        <w:t xml:space="preserve">Αξιολόγηση χαρακτηρισμού </w:t>
      </w:r>
      <w:r w:rsidR="00BB034D" w:rsidRPr="005C1827">
        <w:rPr>
          <w:color w:val="auto"/>
        </w:rPr>
        <w:t>επενδυτικού σχεδίου</w:t>
      </w:r>
      <w:r w:rsidRPr="005C1827">
        <w:rPr>
          <w:color w:val="auto"/>
        </w:rPr>
        <w:t xml:space="preserve"> ως προς την παρέμβασή του σε σχέση με την επίτευξη των πράσινων και ψηφιακών στόχων, υπολογισμός συνεισφοράς</w:t>
      </w:r>
      <w:bookmarkEnd w:id="8"/>
    </w:p>
    <w:p w14:paraId="6A950048" w14:textId="77777777" w:rsidR="00D94619" w:rsidRPr="005C1827" w:rsidRDefault="00D94619" w:rsidP="00A4350E">
      <w:r w:rsidRPr="005C1827">
        <w:t>Κάθε επένδυση που υποβάλλεται για την παροχή δανείου ΤΑΑ, θα πρέπει να αποτυπώσει τι ποσοστό του προϋπολογισμού του θα διατεθεί σε δαπάνες:</w:t>
      </w:r>
    </w:p>
    <w:p w14:paraId="57302A6E" w14:textId="67E9EAFD" w:rsidR="00D94619" w:rsidRPr="005C1827" w:rsidRDefault="00D94619" w:rsidP="00D94619">
      <w:pPr>
        <w:pStyle w:val="a8"/>
        <w:numPr>
          <w:ilvl w:val="0"/>
          <w:numId w:val="65"/>
        </w:numPr>
      </w:pPr>
      <w:r w:rsidRPr="005C1827">
        <w:t>πράσινης μετάβασης, οι οποίες θα πρέπει να αντιστοιχηθούν με ένα ή παραπάνω πεδία παρέμβασης του πίνακα του παραρτήματος VI του κανονισμού σχετικά με τη θέσπιση του μηχανισμού ανάκαμψης και ανθεκτικότητας</w:t>
      </w:r>
      <w:r w:rsidRPr="005C1827">
        <w:rPr>
          <w:rStyle w:val="a5"/>
        </w:rPr>
        <w:footnoteReference w:id="5"/>
      </w:r>
      <w:r w:rsidRPr="005C1827">
        <w:t>.</w:t>
      </w:r>
    </w:p>
    <w:p w14:paraId="13E8D2B7" w14:textId="0F85B75C" w:rsidR="00D94619" w:rsidRPr="005C1827" w:rsidRDefault="00D94619" w:rsidP="00D94619">
      <w:pPr>
        <w:pStyle w:val="a8"/>
        <w:numPr>
          <w:ilvl w:val="0"/>
          <w:numId w:val="65"/>
        </w:numPr>
      </w:pPr>
      <w:r w:rsidRPr="005C1827">
        <w:t>ψηφιακού μετασχηματισμού, οι οποίες θα πρέπει να αντιστοιχηθούν με ένα ή περισσότερα πεδία παρέμβασης του πίνακα του Παραρτήματος VII του Ευρωπαϊκού Κανονισμού 2021/241 σχετικά με τη θέσπιση του μηχανισμού ανάκαμψης και ανθεκτικότητας</w:t>
      </w:r>
      <w:r w:rsidRPr="005C1827">
        <w:rPr>
          <w:rStyle w:val="a5"/>
        </w:rPr>
        <w:footnoteReference w:id="6"/>
      </w:r>
      <w:r w:rsidRPr="005C1827">
        <w:t>.</w:t>
      </w:r>
    </w:p>
    <w:p w14:paraId="16DD0049" w14:textId="2E4172D7" w:rsidR="00A4350E" w:rsidRPr="005C1827" w:rsidRDefault="00A4350E" w:rsidP="00A4350E">
      <w:r w:rsidRPr="005C1827">
        <w:t xml:space="preserve">Για αυτή την αξιολόγηση και τον σχετικό υπολογισμό της συνεισφοράς του επενδυτικού σχεδίου στους πράσινους στόχους του ΕΣΑΑ, χρησιμοποιείται το Παράρτημα VI του Ευρωπαϊκού Κανονισμού 2021/241 προσαρμοσμένο να περιλαμβάνει μόνο τις περιοχές παρέμβασης που σχετίζονται με τις ιδιωτικές επιχειρήσεις. Στη συνέχεια ο επιμέρους επιλέξιμος προϋπολογισμός των δαπανών πράσινης μετάβασης του </w:t>
      </w:r>
      <w:r w:rsidR="00BB034D" w:rsidRPr="005C1827">
        <w:t>επενδυτικού σχεδίου</w:t>
      </w:r>
      <w:r w:rsidRPr="005C1827">
        <w:t xml:space="preserve"> πολλαπλασιάζεται με τα ποσοστά του προσαρμοσμένου πίνακα παρεμβάσεων, ώστε να υπολογιστεί η επιμέρους συνεισφορά. Η συνολική συνεισφορά του </w:t>
      </w:r>
      <w:r w:rsidR="00BB034D" w:rsidRPr="005C1827">
        <w:t>επενδυτικού σχεδίου</w:t>
      </w:r>
      <w:r w:rsidRPr="005C1827">
        <w:t xml:space="preserve"> είναι το άθροισμα των επιμέρους συνεισφορών.</w:t>
      </w:r>
    </w:p>
    <w:p w14:paraId="3CE2F255" w14:textId="268D8C5C" w:rsidR="00A4350E" w:rsidRPr="005C1827" w:rsidRDefault="00A4350E" w:rsidP="00A4350E">
      <w:r w:rsidRPr="005C1827">
        <w:t xml:space="preserve">Για αυτή την αξιολόγηση και τον σχετικό υπολογισμό της συνεισφοράς του επενδυτικού σχεδίου στους ψηφιακούς στόχους του ΕΣΑΑ, χρησιμοποιείται το Παράρτημα VII του Ευρωπαϊκού Κανονισμού 2021/241 προσαρμοσμένο να περιλαμβάνει μόνο τις περιοχές παρέμβασης που σχετίζονται με τις ιδιωτικές επιχειρήσεις. Στη συνέχεια ο επιμέρους προϋπολογισμός των επιλέξιμων δαπανών ψηφιακού μετασχηματισμού του </w:t>
      </w:r>
      <w:r w:rsidR="00BB034D" w:rsidRPr="005C1827">
        <w:t>επενδυτικού σχεδίου</w:t>
      </w:r>
      <w:r w:rsidRPr="005C1827">
        <w:t xml:space="preserve"> πολλαπλασιάζεται με τα ποσοστά του προσαρμοσμένου πίνακα παρεμβάσεων, ώστε να υπολογιστεί η επιμέρους </w:t>
      </w:r>
      <w:r w:rsidRPr="005C1827">
        <w:lastRenderedPageBreak/>
        <w:t xml:space="preserve">συνεισφορά. Η συνολική συνεισφορά του </w:t>
      </w:r>
      <w:r w:rsidR="00BB034D" w:rsidRPr="005C1827">
        <w:t>επενδυτικού σχεδίου</w:t>
      </w:r>
      <w:r w:rsidRPr="005C1827">
        <w:t xml:space="preserve"> είναι το άθροισμα των επιμέρους συνεισφορών.</w:t>
      </w:r>
    </w:p>
    <w:p w14:paraId="29E49B1F" w14:textId="1363FDAA" w:rsidR="0086101C" w:rsidRPr="005C1827" w:rsidRDefault="006A1389" w:rsidP="006A1389">
      <w:pPr>
        <w:pStyle w:val="2"/>
        <w:rPr>
          <w:color w:val="auto"/>
        </w:rPr>
      </w:pPr>
      <w:bookmarkStart w:id="9" w:name="_Toc83050013"/>
      <w:r w:rsidRPr="005C1827">
        <w:rPr>
          <w:color w:val="auto"/>
        </w:rPr>
        <w:t>Αξιολόγηση συμβατότητας του παρεχόμενου επιτοκίου ως προς τις κρατικές ενισχύσεις</w:t>
      </w:r>
      <w:bookmarkEnd w:id="9"/>
    </w:p>
    <w:p w14:paraId="28A8726F" w14:textId="08F822B8" w:rsidR="006A1389" w:rsidRPr="005C1827" w:rsidRDefault="006A1389" w:rsidP="006A1389">
      <w:pPr>
        <w:rPr>
          <w:rFonts w:ascii="Calibri" w:eastAsia="Calibri" w:hAnsi="Calibri" w:cs="Calibri"/>
        </w:rPr>
      </w:pPr>
      <w:r w:rsidRPr="005C1827">
        <w:rPr>
          <w:rFonts w:ascii="Calibri" w:eastAsia="Calibri" w:hAnsi="Calibri" w:cs="Calibri"/>
          <w:lang w:val="el"/>
        </w:rPr>
        <w:t xml:space="preserve">Το </w:t>
      </w:r>
      <w:r w:rsidR="00BB034D" w:rsidRPr="005C1827">
        <w:rPr>
          <w:rFonts w:ascii="Calibri" w:eastAsia="Calibri" w:hAnsi="Calibri" w:cs="Calibri"/>
          <w:lang w:val="el"/>
        </w:rPr>
        <w:t>επενδυτικό σχέδιο</w:t>
      </w:r>
      <w:r w:rsidRPr="005C1827">
        <w:rPr>
          <w:rFonts w:ascii="Calibri" w:eastAsia="Calibri" w:hAnsi="Calibri" w:cs="Calibri"/>
          <w:lang w:val="el"/>
        </w:rPr>
        <w:t xml:space="preserve"> αξιολογείται ως προς τη συμβατότητα με το πλαίσιο κρατικών ενισχύσεων. Καταρχήν εξετάζεται εάν</w:t>
      </w:r>
      <w:r w:rsidR="00B043C5" w:rsidRPr="005C1827">
        <w:rPr>
          <w:rFonts w:ascii="Calibri" w:eastAsia="Calibri" w:hAnsi="Calibri" w:cs="Calibri"/>
          <w:lang w:val="el"/>
        </w:rPr>
        <w:t xml:space="preserve"> το ζητούμενο επιτόκιο από το επενδυτικό σχέδιο</w:t>
      </w:r>
      <w:r w:rsidRPr="005C1827">
        <w:rPr>
          <w:rFonts w:ascii="Calibri" w:eastAsia="Calibri" w:hAnsi="Calibri" w:cs="Calibri"/>
          <w:lang w:val="el"/>
        </w:rPr>
        <w:t xml:space="preserve"> είναι ίσο ή μεγαλύτερο από το επιτόκιο αναφοράς (</w:t>
      </w:r>
      <w:r w:rsidRPr="005C1827">
        <w:rPr>
          <w:rFonts w:ascii="Calibri" w:eastAsia="Calibri" w:hAnsi="Calibri" w:cs="Calibri"/>
        </w:rPr>
        <w:t>reference rate)</w:t>
      </w:r>
      <w:r w:rsidR="00CD4356" w:rsidRPr="005C1827">
        <w:rPr>
          <w:rFonts w:ascii="Calibri" w:eastAsia="Calibri" w:hAnsi="Calibri" w:cs="Calibri"/>
        </w:rPr>
        <w:t>,</w:t>
      </w:r>
      <w:r w:rsidR="00CD4356" w:rsidRPr="005C1827">
        <w:t xml:space="preserve"> όπως ορίζεται στην ανακοίνωση της Επιτροπής (2008 / C 14/02),</w:t>
      </w:r>
      <w:r w:rsidRPr="005C1827">
        <w:rPr>
          <w:rFonts w:ascii="Calibri" w:eastAsia="Calibri" w:hAnsi="Calibri" w:cs="Calibri"/>
        </w:rPr>
        <w:t xml:space="preserve"> </w:t>
      </w:r>
      <w:r w:rsidR="004C6993" w:rsidRPr="005C1827">
        <w:rPr>
          <w:rFonts w:ascii="Calibri" w:eastAsia="Calibri" w:hAnsi="Calibri" w:cs="Calibri"/>
          <w:lang w:val="el"/>
        </w:rPr>
        <w:t xml:space="preserve">του </w:t>
      </w:r>
      <w:r w:rsidR="00B043C5" w:rsidRPr="005C1827">
        <w:rPr>
          <w:rFonts w:ascii="Calibri" w:eastAsia="Calibri" w:hAnsi="Calibri" w:cs="Calibri"/>
          <w:lang w:val="el"/>
        </w:rPr>
        <w:t>επενδυτικού σχεδίου</w:t>
      </w:r>
      <w:r w:rsidRPr="005C1827">
        <w:rPr>
          <w:rFonts w:ascii="Calibri" w:eastAsia="Calibri" w:hAnsi="Calibri" w:cs="Calibri"/>
        </w:rPr>
        <w:t xml:space="preserve">. Στην περίπτωση αυτή, σύμφωνα με τους κανόνες κρατικών ενισχύσεων, το δάνειο του ΤΑΑ δεν αποτελεί κρατική ενίσχυση και ολοκληρώνεται θετικά η αξιολόγηση συμβατότητας του </w:t>
      </w:r>
      <w:r w:rsidR="00B043C5" w:rsidRPr="005C1827">
        <w:rPr>
          <w:rFonts w:ascii="Calibri" w:eastAsia="Calibri" w:hAnsi="Calibri" w:cs="Calibri"/>
        </w:rPr>
        <w:t>επενδυτικού σχεδίου</w:t>
      </w:r>
      <w:r w:rsidRPr="005C1827">
        <w:rPr>
          <w:rFonts w:ascii="Calibri" w:eastAsia="Calibri" w:hAnsi="Calibri" w:cs="Calibri"/>
        </w:rPr>
        <w:t xml:space="preserve"> ως προς τις κρατικές ενισχύσεις.</w:t>
      </w:r>
    </w:p>
    <w:p w14:paraId="4C91C53B" w14:textId="73EC04D8" w:rsidR="00C86EBB" w:rsidRPr="005C1827" w:rsidRDefault="00C86EBB" w:rsidP="00C86EBB">
      <w:r w:rsidRPr="005C1827">
        <w:rPr>
          <w:rFonts w:ascii="Calibri" w:eastAsia="Calibri" w:hAnsi="Calibri" w:cs="Calibri"/>
          <w:lang w:val="el"/>
        </w:rPr>
        <w:t xml:space="preserve">Στην περίπτωση όπου το ζητούμενο επιτόκιο είναι μικρότερο του επιτοκίου αναφοράς, τότε </w:t>
      </w:r>
      <w:r w:rsidR="00CD4356" w:rsidRPr="005C1827">
        <w:rPr>
          <w:rFonts w:ascii="Calibri" w:eastAsia="Calibri" w:hAnsi="Calibri" w:cs="Calibri"/>
          <w:lang w:val="el"/>
        </w:rPr>
        <w:t>το δάνειο του ΤΑΑ αποτελεί</w:t>
      </w:r>
      <w:r w:rsidR="00CD4356" w:rsidRPr="005C1827">
        <w:rPr>
          <w:b/>
        </w:rPr>
        <w:t xml:space="preserve"> </w:t>
      </w:r>
      <w:r w:rsidRPr="005C1827">
        <w:t>κρατική ενίσχυση</w:t>
      </w:r>
      <w:r w:rsidR="00CD4356" w:rsidRPr="005C1827">
        <w:t>.</w:t>
      </w:r>
      <w:r w:rsidRPr="005C1827">
        <w:t xml:space="preserve"> Σε αυτήν την περίπτωση, η διαφορά μεταξύ του συνολικού τόκου που πρέπει να καταβληθεί (σε καθαρή παρούσα αξία) για ένα δάνειο του ΤΑΑ και για ένα δάνειο αναφοράς, με επιτόκιο ίσο με το επιτόκιο αναφοράς, είναι το ποσό του </w:t>
      </w:r>
      <w:r w:rsidR="00CD4356" w:rsidRPr="005C1827">
        <w:t>ακαθάριστου ισοδύναμου επιχορήγησης</w:t>
      </w:r>
      <w:r w:rsidRPr="005C1827">
        <w:t xml:space="preserve">, όπως φαίνεται παρακάτω: </w:t>
      </w:r>
    </w:p>
    <w:p w14:paraId="0F4844D3" w14:textId="77777777" w:rsidR="00C86EBB" w:rsidRPr="005C1827" w:rsidRDefault="00C86EBB" w:rsidP="00C86EBB">
      <w:pPr>
        <w:jc w:val="center"/>
        <w:rPr>
          <w:b/>
          <w:vertAlign w:val="subscript"/>
        </w:rPr>
      </w:pPr>
      <w:r w:rsidRPr="005C1827">
        <w:rPr>
          <w:b/>
        </w:rPr>
        <w:t>GGE = TILF</w:t>
      </w:r>
      <w:r w:rsidRPr="005C1827">
        <w:rPr>
          <w:b/>
          <w:vertAlign w:val="subscript"/>
        </w:rPr>
        <w:t>NPV</w:t>
      </w:r>
      <w:r w:rsidRPr="005C1827">
        <w:rPr>
          <w:b/>
        </w:rPr>
        <w:t xml:space="preserve"> - TIBL</w:t>
      </w:r>
      <w:r w:rsidRPr="005C1827">
        <w:rPr>
          <w:b/>
          <w:vertAlign w:val="subscript"/>
        </w:rPr>
        <w:t>NPV</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9"/>
        <w:gridCol w:w="8157"/>
      </w:tblGrid>
      <w:tr w:rsidR="00C86EBB" w:rsidRPr="005C1827" w14:paraId="6E31DDDC" w14:textId="77777777" w:rsidTr="009B0A5E">
        <w:trPr>
          <w:trHeight w:val="358"/>
        </w:trPr>
        <w:tc>
          <w:tcPr>
            <w:tcW w:w="882" w:type="dxa"/>
          </w:tcPr>
          <w:p w14:paraId="628504B4" w14:textId="77777777" w:rsidR="00C86EBB" w:rsidRPr="005C1827" w:rsidRDefault="00C86EBB" w:rsidP="009B0A5E">
            <w:pPr>
              <w:spacing w:before="0"/>
              <w:rPr>
                <w:rFonts w:asciiTheme="minorHAnsi" w:hAnsiTheme="minorHAnsi" w:cstheme="minorHAnsi"/>
              </w:rPr>
            </w:pPr>
            <w:r w:rsidRPr="005C1827">
              <w:rPr>
                <w:rFonts w:asciiTheme="minorHAnsi" w:hAnsiTheme="minorHAnsi" w:cstheme="minorHAnsi"/>
              </w:rPr>
              <w:t>Όπου:</w:t>
            </w:r>
          </w:p>
        </w:tc>
        <w:tc>
          <w:tcPr>
            <w:tcW w:w="8468" w:type="dxa"/>
          </w:tcPr>
          <w:p w14:paraId="2412541F" w14:textId="77777777" w:rsidR="00C86EBB" w:rsidRPr="005C1827" w:rsidRDefault="00C86EBB" w:rsidP="009B0A5E">
            <w:pPr>
              <w:spacing w:before="0"/>
              <w:rPr>
                <w:rFonts w:asciiTheme="minorHAnsi" w:hAnsiTheme="minorHAnsi" w:cstheme="minorHAnsi"/>
              </w:rPr>
            </w:pPr>
            <w:r w:rsidRPr="005C1827">
              <w:rPr>
                <w:rFonts w:asciiTheme="minorHAnsi" w:hAnsiTheme="minorHAnsi" w:cstheme="minorHAnsi"/>
                <w:b/>
              </w:rPr>
              <w:t xml:space="preserve">GGE </w:t>
            </w:r>
            <w:r w:rsidRPr="005C1827">
              <w:rPr>
                <w:rFonts w:asciiTheme="minorHAnsi" w:hAnsiTheme="minorHAnsi" w:cstheme="minorHAnsi"/>
              </w:rPr>
              <w:t>είναι το Ακαθάριστο Ισοδύναμο Ενίσχυσης (Gross Grant Equivalent), κατά τον χρόνο υπογραφής της δανειακής σύμβασης</w:t>
            </w:r>
          </w:p>
        </w:tc>
      </w:tr>
      <w:tr w:rsidR="00C86EBB" w:rsidRPr="005C1827" w14:paraId="6EDCC634" w14:textId="77777777" w:rsidTr="009B0A5E">
        <w:trPr>
          <w:trHeight w:val="624"/>
        </w:trPr>
        <w:tc>
          <w:tcPr>
            <w:tcW w:w="882" w:type="dxa"/>
          </w:tcPr>
          <w:p w14:paraId="0A192E65" w14:textId="77777777" w:rsidR="00C86EBB" w:rsidRPr="005C1827" w:rsidRDefault="00C86EBB" w:rsidP="009B0A5E">
            <w:pPr>
              <w:spacing w:before="0"/>
              <w:rPr>
                <w:rFonts w:asciiTheme="minorHAnsi" w:hAnsiTheme="minorHAnsi" w:cstheme="minorHAnsi"/>
              </w:rPr>
            </w:pPr>
          </w:p>
        </w:tc>
        <w:tc>
          <w:tcPr>
            <w:tcW w:w="8468" w:type="dxa"/>
          </w:tcPr>
          <w:p w14:paraId="03159AB5" w14:textId="77777777" w:rsidR="00C86EBB" w:rsidRPr="005C1827" w:rsidRDefault="00C86EBB" w:rsidP="009B0A5E">
            <w:pPr>
              <w:spacing w:before="0"/>
              <w:rPr>
                <w:rFonts w:asciiTheme="minorHAnsi" w:hAnsiTheme="minorHAnsi" w:cstheme="minorHAnsi"/>
              </w:rPr>
            </w:pPr>
            <w:r w:rsidRPr="005C1827">
              <w:rPr>
                <w:rFonts w:asciiTheme="minorHAnsi" w:hAnsiTheme="minorHAnsi" w:cstheme="minorHAnsi"/>
                <w:b/>
              </w:rPr>
              <w:t>TILF</w:t>
            </w:r>
            <w:r w:rsidRPr="005C1827">
              <w:rPr>
                <w:rFonts w:asciiTheme="minorHAnsi" w:hAnsiTheme="minorHAnsi" w:cstheme="minorHAnsi"/>
                <w:b/>
                <w:vertAlign w:val="subscript"/>
              </w:rPr>
              <w:t>NPV</w:t>
            </w:r>
            <w:r w:rsidRPr="005C1827">
              <w:rPr>
                <w:rFonts w:asciiTheme="minorHAnsi" w:hAnsiTheme="minorHAnsi" w:cstheme="minorHAnsi"/>
              </w:rPr>
              <w:t xml:space="preserve"> είναι ο συνολικός τόκος του δανείου του ΤΑΑ σε Καθαρή Παρούσα Αξία (η ΚΠΑ υπολογίζεται με προεξοφλητικό επιτόκιο ίσο με το βασικό επιτόκιο συν 100 μονάδες βάσης)</w:t>
            </w:r>
          </w:p>
        </w:tc>
      </w:tr>
      <w:tr w:rsidR="00C86EBB" w:rsidRPr="005C1827" w14:paraId="7C86B8AF" w14:textId="77777777" w:rsidTr="009B0A5E">
        <w:trPr>
          <w:trHeight w:val="624"/>
        </w:trPr>
        <w:tc>
          <w:tcPr>
            <w:tcW w:w="882" w:type="dxa"/>
          </w:tcPr>
          <w:p w14:paraId="26AC986E" w14:textId="77777777" w:rsidR="00C86EBB" w:rsidRPr="005C1827" w:rsidRDefault="00C86EBB" w:rsidP="009B0A5E">
            <w:pPr>
              <w:spacing w:before="0"/>
              <w:rPr>
                <w:rFonts w:asciiTheme="minorHAnsi" w:hAnsiTheme="minorHAnsi" w:cstheme="minorHAnsi"/>
              </w:rPr>
            </w:pPr>
          </w:p>
        </w:tc>
        <w:tc>
          <w:tcPr>
            <w:tcW w:w="8468" w:type="dxa"/>
          </w:tcPr>
          <w:p w14:paraId="46606EC8" w14:textId="77777777" w:rsidR="00C86EBB" w:rsidRPr="005C1827" w:rsidRDefault="00C86EBB" w:rsidP="009B0A5E">
            <w:pPr>
              <w:spacing w:before="0"/>
              <w:rPr>
                <w:rFonts w:asciiTheme="minorHAnsi" w:hAnsiTheme="minorHAnsi" w:cstheme="minorHAnsi"/>
              </w:rPr>
            </w:pPr>
            <w:r w:rsidRPr="005C1827">
              <w:rPr>
                <w:rFonts w:asciiTheme="minorHAnsi" w:hAnsiTheme="minorHAnsi" w:cstheme="minorHAnsi"/>
                <w:b/>
              </w:rPr>
              <w:t>TIBL</w:t>
            </w:r>
            <w:r w:rsidRPr="005C1827">
              <w:rPr>
                <w:rFonts w:asciiTheme="minorHAnsi" w:hAnsiTheme="minorHAnsi" w:cstheme="minorHAnsi"/>
                <w:b/>
                <w:vertAlign w:val="subscript"/>
              </w:rPr>
              <w:t>NPV</w:t>
            </w:r>
            <w:r w:rsidRPr="005C1827">
              <w:rPr>
                <w:rFonts w:asciiTheme="minorHAnsi" w:hAnsiTheme="minorHAnsi" w:cstheme="minorHAnsi"/>
              </w:rPr>
              <w:t xml:space="preserve"> είναι ο συνολικός τόκος του δανείου αναφοράς (benchmark loan) σε Καθαρή Παρούσα Αξία (η ΚΠΑ υπολογίζεται με προεξοφλητικό επιτόκιο ίσο με το βασικό επιτόκιο συν 100 μονάδες βάσης). Το επιτόκιο του δανείου αναφοράς είναι το επιτόκιο αναφοράς που ορίζεται στην ανακοίνωση της Επιτροπής (2008 / C 14/02).</w:t>
            </w:r>
          </w:p>
        </w:tc>
      </w:tr>
    </w:tbl>
    <w:p w14:paraId="0E3C232C" w14:textId="1079E37F" w:rsidR="00C86EBB" w:rsidRPr="005C1827" w:rsidRDefault="00C86EBB" w:rsidP="00C86EBB">
      <w:r w:rsidRPr="005C1827">
        <w:t>Το επιτόκιο αναφοράς του δανείου αναφοράς καθορίζεται με βάση την ανακοίνωση της Επιτροπής σχετικά με τα επιτόκια αναφοράς (2008 / C 14/02). Το επ</w:t>
      </w:r>
      <w:r w:rsidR="0020401F" w:rsidRPr="005C1827">
        <w:t>ιτόκιο αναφοράς υπολογίζεται σύμφωνα με το επιτόκιο βάσης (</w:t>
      </w:r>
      <w:r w:rsidR="0020401F" w:rsidRPr="005C1827">
        <w:rPr>
          <w:lang w:val="en-US"/>
        </w:rPr>
        <w:t>base</w:t>
      </w:r>
      <w:r w:rsidR="0020401F" w:rsidRPr="005C1827">
        <w:t xml:space="preserve"> </w:t>
      </w:r>
      <w:r w:rsidR="0020401F" w:rsidRPr="005C1827">
        <w:rPr>
          <w:lang w:val="en-US"/>
        </w:rPr>
        <w:t>rate</w:t>
      </w:r>
      <w:r w:rsidR="0020401F" w:rsidRPr="005C1827">
        <w:t>)</w:t>
      </w:r>
      <w:r w:rsidRPr="005C1827">
        <w:t xml:space="preserve"> της χώρας</w:t>
      </w:r>
      <w:r w:rsidRPr="005C1827">
        <w:rPr>
          <w:rStyle w:val="a5"/>
        </w:rPr>
        <w:footnoteReference w:id="7"/>
      </w:r>
      <w:r w:rsidRPr="005C1827">
        <w:t xml:space="preserve"> συν τα παρακάτω περιθώρια, που θα εφαρμόζονται ανάλογα με τη βαθμολογία της οικείας επιχείρησης και τις παρεχόμενες εξασφαλίσεις.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1"/>
        <w:gridCol w:w="1307"/>
        <w:gridCol w:w="829"/>
        <w:gridCol w:w="948"/>
        <w:gridCol w:w="917"/>
      </w:tblGrid>
      <w:tr w:rsidR="00C86EBB" w:rsidRPr="005C1827" w14:paraId="73A73CFA" w14:textId="77777777" w:rsidTr="009B0A5E">
        <w:trPr>
          <w:trHeight w:val="20"/>
          <w:jc w:val="center"/>
        </w:trPr>
        <w:tc>
          <w:tcPr>
            <w:tcW w:w="0" w:type="auto"/>
            <w:shd w:val="clear" w:color="auto" w:fill="auto"/>
            <w:noWrap/>
            <w:vAlign w:val="bottom"/>
            <w:hideMark/>
          </w:tcPr>
          <w:p w14:paraId="7DB60185" w14:textId="77777777" w:rsidR="00C86EBB" w:rsidRPr="005C1827" w:rsidRDefault="00C86EBB" w:rsidP="009B0A5E">
            <w:pPr>
              <w:spacing w:before="0" w:line="240" w:lineRule="auto"/>
              <w:jc w:val="both"/>
              <w:rPr>
                <w:rFonts w:eastAsia="Times New Roman" w:cstheme="minorHAnsi"/>
                <w:sz w:val="20"/>
                <w:szCs w:val="20"/>
              </w:rPr>
            </w:pPr>
            <w:r w:rsidRPr="005C1827">
              <w:rPr>
                <w:rFonts w:eastAsia="Times New Roman" w:cstheme="minorHAnsi"/>
                <w:sz w:val="20"/>
                <w:szCs w:val="20"/>
              </w:rPr>
              <w:t>Δανειακά περιθώρια σε μονάδες βάσης</w:t>
            </w:r>
          </w:p>
        </w:tc>
        <w:tc>
          <w:tcPr>
            <w:tcW w:w="0" w:type="auto"/>
            <w:shd w:val="clear" w:color="auto" w:fill="auto"/>
            <w:noWrap/>
            <w:vAlign w:val="bottom"/>
            <w:hideMark/>
          </w:tcPr>
          <w:p w14:paraId="4A65436D" w14:textId="77777777" w:rsidR="00C86EBB" w:rsidRPr="005C1827" w:rsidRDefault="00C86EBB" w:rsidP="009B0A5E">
            <w:pPr>
              <w:spacing w:before="0" w:line="240" w:lineRule="auto"/>
              <w:jc w:val="both"/>
              <w:rPr>
                <w:rFonts w:eastAsia="Times New Roman" w:cstheme="minorHAnsi"/>
                <w:sz w:val="20"/>
                <w:szCs w:val="20"/>
              </w:rPr>
            </w:pPr>
          </w:p>
        </w:tc>
        <w:tc>
          <w:tcPr>
            <w:tcW w:w="0" w:type="auto"/>
            <w:gridSpan w:val="3"/>
            <w:shd w:val="clear" w:color="auto" w:fill="auto"/>
            <w:noWrap/>
            <w:vAlign w:val="bottom"/>
            <w:hideMark/>
          </w:tcPr>
          <w:p w14:paraId="29D88D08" w14:textId="77777777" w:rsidR="00C86EBB" w:rsidRPr="005C1827" w:rsidRDefault="00C86EBB" w:rsidP="009B0A5E">
            <w:pPr>
              <w:spacing w:before="0" w:line="240" w:lineRule="auto"/>
              <w:jc w:val="center"/>
              <w:rPr>
                <w:rFonts w:eastAsia="Times New Roman" w:cstheme="minorHAnsi"/>
                <w:sz w:val="20"/>
                <w:szCs w:val="20"/>
              </w:rPr>
            </w:pPr>
            <w:r w:rsidRPr="005C1827">
              <w:rPr>
                <w:rFonts w:eastAsia="Times New Roman" w:cstheme="minorHAnsi"/>
                <w:sz w:val="20"/>
                <w:szCs w:val="20"/>
              </w:rPr>
              <w:t>Εξασφαλίσεις</w:t>
            </w:r>
          </w:p>
        </w:tc>
      </w:tr>
      <w:tr w:rsidR="00C86EBB" w:rsidRPr="005C1827" w14:paraId="1B38299D" w14:textId="77777777" w:rsidTr="009B0A5E">
        <w:trPr>
          <w:trHeight w:val="20"/>
          <w:jc w:val="center"/>
        </w:trPr>
        <w:tc>
          <w:tcPr>
            <w:tcW w:w="0" w:type="auto"/>
            <w:shd w:val="clear" w:color="auto" w:fill="auto"/>
            <w:noWrap/>
            <w:vAlign w:val="bottom"/>
            <w:hideMark/>
          </w:tcPr>
          <w:p w14:paraId="71DB3130" w14:textId="77777777" w:rsidR="00C86EBB" w:rsidRPr="005C1827" w:rsidRDefault="00C86EBB" w:rsidP="009B0A5E">
            <w:pPr>
              <w:spacing w:before="0" w:line="240" w:lineRule="auto"/>
              <w:jc w:val="both"/>
              <w:rPr>
                <w:rFonts w:eastAsia="Times New Roman" w:cstheme="minorHAnsi"/>
                <w:sz w:val="20"/>
                <w:szCs w:val="20"/>
              </w:rPr>
            </w:pPr>
            <w:r w:rsidRPr="005C1827">
              <w:rPr>
                <w:rFonts w:eastAsia="Times New Roman" w:cstheme="minorHAnsi"/>
                <w:sz w:val="20"/>
                <w:szCs w:val="20"/>
              </w:rPr>
              <w:t>Κατηγορία βαθμολογίας</w:t>
            </w:r>
          </w:p>
        </w:tc>
        <w:tc>
          <w:tcPr>
            <w:tcW w:w="0" w:type="auto"/>
            <w:shd w:val="clear" w:color="auto" w:fill="auto"/>
            <w:noWrap/>
            <w:vAlign w:val="bottom"/>
            <w:hideMark/>
          </w:tcPr>
          <w:p w14:paraId="00FAEDB6" w14:textId="77777777" w:rsidR="00C86EBB" w:rsidRPr="005C1827" w:rsidRDefault="00C86EBB" w:rsidP="009B0A5E">
            <w:pPr>
              <w:spacing w:before="0" w:line="240" w:lineRule="auto"/>
              <w:jc w:val="both"/>
              <w:rPr>
                <w:rFonts w:eastAsia="Times New Roman" w:cstheme="minorHAnsi"/>
                <w:sz w:val="20"/>
                <w:szCs w:val="20"/>
              </w:rPr>
            </w:pPr>
          </w:p>
        </w:tc>
        <w:tc>
          <w:tcPr>
            <w:tcW w:w="0" w:type="auto"/>
            <w:shd w:val="clear" w:color="auto" w:fill="auto"/>
            <w:noWrap/>
            <w:vAlign w:val="bottom"/>
            <w:hideMark/>
          </w:tcPr>
          <w:p w14:paraId="357E088E" w14:textId="77777777" w:rsidR="00C86EBB" w:rsidRPr="005C1827" w:rsidRDefault="00C86EBB" w:rsidP="009B0A5E">
            <w:pPr>
              <w:spacing w:before="0" w:line="240" w:lineRule="auto"/>
              <w:jc w:val="both"/>
              <w:rPr>
                <w:rFonts w:eastAsia="Times New Roman" w:cstheme="minorHAnsi"/>
                <w:sz w:val="20"/>
                <w:szCs w:val="20"/>
              </w:rPr>
            </w:pPr>
            <w:r w:rsidRPr="005C1827">
              <w:rPr>
                <w:rFonts w:eastAsia="Times New Roman" w:cstheme="minorHAnsi"/>
                <w:sz w:val="20"/>
                <w:szCs w:val="20"/>
              </w:rPr>
              <w:t>Υψηλές</w:t>
            </w:r>
          </w:p>
        </w:tc>
        <w:tc>
          <w:tcPr>
            <w:tcW w:w="0" w:type="auto"/>
            <w:shd w:val="clear" w:color="auto" w:fill="auto"/>
            <w:noWrap/>
            <w:vAlign w:val="bottom"/>
            <w:hideMark/>
          </w:tcPr>
          <w:p w14:paraId="3F1AF439" w14:textId="77777777" w:rsidR="00C86EBB" w:rsidRPr="005C1827" w:rsidRDefault="00C86EBB" w:rsidP="009B0A5E">
            <w:pPr>
              <w:spacing w:before="0" w:line="240" w:lineRule="auto"/>
              <w:jc w:val="both"/>
              <w:rPr>
                <w:rFonts w:eastAsia="Times New Roman" w:cstheme="minorHAnsi"/>
                <w:sz w:val="20"/>
                <w:szCs w:val="20"/>
              </w:rPr>
            </w:pPr>
            <w:r w:rsidRPr="005C1827">
              <w:rPr>
                <w:rFonts w:eastAsia="Times New Roman" w:cstheme="minorHAnsi"/>
                <w:sz w:val="20"/>
                <w:szCs w:val="20"/>
              </w:rPr>
              <w:t>Συνήθεις</w:t>
            </w:r>
          </w:p>
        </w:tc>
        <w:tc>
          <w:tcPr>
            <w:tcW w:w="0" w:type="auto"/>
            <w:shd w:val="clear" w:color="auto" w:fill="auto"/>
            <w:noWrap/>
            <w:vAlign w:val="bottom"/>
            <w:hideMark/>
          </w:tcPr>
          <w:p w14:paraId="0817FC56" w14:textId="77777777" w:rsidR="00C86EBB" w:rsidRPr="005C1827" w:rsidRDefault="00C86EBB" w:rsidP="009B0A5E">
            <w:pPr>
              <w:spacing w:before="0" w:line="240" w:lineRule="auto"/>
              <w:jc w:val="both"/>
              <w:rPr>
                <w:rFonts w:eastAsia="Times New Roman" w:cstheme="minorHAnsi"/>
                <w:sz w:val="20"/>
                <w:szCs w:val="20"/>
              </w:rPr>
            </w:pPr>
            <w:r w:rsidRPr="005C1827">
              <w:rPr>
                <w:rFonts w:eastAsia="Times New Roman" w:cstheme="minorHAnsi"/>
                <w:sz w:val="20"/>
                <w:szCs w:val="20"/>
              </w:rPr>
              <w:t>Χαμηλές</w:t>
            </w:r>
          </w:p>
        </w:tc>
      </w:tr>
      <w:tr w:rsidR="00C86EBB" w:rsidRPr="005C1827" w14:paraId="5590FA6C" w14:textId="77777777" w:rsidTr="009B0A5E">
        <w:trPr>
          <w:trHeight w:val="20"/>
          <w:jc w:val="center"/>
        </w:trPr>
        <w:tc>
          <w:tcPr>
            <w:tcW w:w="0" w:type="auto"/>
            <w:shd w:val="clear" w:color="auto" w:fill="auto"/>
            <w:noWrap/>
            <w:vAlign w:val="bottom"/>
            <w:hideMark/>
          </w:tcPr>
          <w:p w14:paraId="54A1329E" w14:textId="77777777" w:rsidR="00C86EBB" w:rsidRPr="005C1827" w:rsidRDefault="00C86EBB" w:rsidP="009B0A5E">
            <w:pPr>
              <w:spacing w:before="0" w:line="240" w:lineRule="auto"/>
              <w:jc w:val="both"/>
              <w:rPr>
                <w:rFonts w:eastAsia="Times New Roman" w:cstheme="minorHAnsi"/>
                <w:sz w:val="20"/>
                <w:szCs w:val="20"/>
              </w:rPr>
            </w:pPr>
            <w:r w:rsidRPr="005C1827">
              <w:rPr>
                <w:rFonts w:eastAsia="Times New Roman" w:cstheme="minorHAnsi"/>
                <w:sz w:val="20"/>
                <w:szCs w:val="20"/>
              </w:rPr>
              <w:t>Υψηλή</w:t>
            </w:r>
          </w:p>
        </w:tc>
        <w:tc>
          <w:tcPr>
            <w:tcW w:w="0" w:type="auto"/>
            <w:shd w:val="clear" w:color="auto" w:fill="auto"/>
            <w:noWrap/>
            <w:vAlign w:val="bottom"/>
            <w:hideMark/>
          </w:tcPr>
          <w:p w14:paraId="471FB549" w14:textId="77777777" w:rsidR="00C86EBB" w:rsidRPr="005C1827" w:rsidRDefault="00C86EBB" w:rsidP="009B0A5E">
            <w:pPr>
              <w:spacing w:before="0" w:line="240" w:lineRule="auto"/>
              <w:jc w:val="both"/>
              <w:rPr>
                <w:rFonts w:eastAsia="Times New Roman" w:cstheme="minorHAnsi"/>
                <w:sz w:val="20"/>
                <w:szCs w:val="20"/>
              </w:rPr>
            </w:pPr>
            <w:r w:rsidRPr="005C1827">
              <w:rPr>
                <w:rFonts w:eastAsia="Times New Roman" w:cstheme="minorHAnsi"/>
                <w:sz w:val="20"/>
                <w:szCs w:val="20"/>
              </w:rPr>
              <w:t>AAA-A</w:t>
            </w:r>
          </w:p>
        </w:tc>
        <w:tc>
          <w:tcPr>
            <w:tcW w:w="0" w:type="auto"/>
            <w:shd w:val="clear" w:color="auto" w:fill="auto"/>
            <w:noWrap/>
            <w:vAlign w:val="bottom"/>
            <w:hideMark/>
          </w:tcPr>
          <w:p w14:paraId="267A7BDA" w14:textId="77777777" w:rsidR="00C86EBB" w:rsidRPr="005C1827" w:rsidRDefault="00C86EBB" w:rsidP="009B0A5E">
            <w:pPr>
              <w:spacing w:before="0" w:line="240" w:lineRule="auto"/>
              <w:jc w:val="both"/>
              <w:rPr>
                <w:rFonts w:eastAsia="Times New Roman" w:cstheme="minorHAnsi"/>
                <w:sz w:val="20"/>
                <w:szCs w:val="20"/>
              </w:rPr>
            </w:pPr>
            <w:r w:rsidRPr="005C1827">
              <w:rPr>
                <w:rFonts w:eastAsia="Times New Roman" w:cstheme="minorHAnsi"/>
                <w:sz w:val="20"/>
                <w:szCs w:val="20"/>
              </w:rPr>
              <w:t>60</w:t>
            </w:r>
          </w:p>
        </w:tc>
        <w:tc>
          <w:tcPr>
            <w:tcW w:w="0" w:type="auto"/>
            <w:shd w:val="clear" w:color="auto" w:fill="auto"/>
            <w:noWrap/>
            <w:vAlign w:val="bottom"/>
            <w:hideMark/>
          </w:tcPr>
          <w:p w14:paraId="43EE14DD" w14:textId="77777777" w:rsidR="00C86EBB" w:rsidRPr="005C1827" w:rsidRDefault="00C86EBB" w:rsidP="009B0A5E">
            <w:pPr>
              <w:spacing w:before="0" w:line="240" w:lineRule="auto"/>
              <w:jc w:val="both"/>
              <w:rPr>
                <w:rFonts w:eastAsia="Times New Roman" w:cstheme="minorHAnsi"/>
                <w:sz w:val="20"/>
                <w:szCs w:val="20"/>
              </w:rPr>
            </w:pPr>
            <w:r w:rsidRPr="005C1827">
              <w:rPr>
                <w:rFonts w:eastAsia="Times New Roman" w:cstheme="minorHAnsi"/>
                <w:sz w:val="20"/>
                <w:szCs w:val="20"/>
              </w:rPr>
              <w:t>75</w:t>
            </w:r>
          </w:p>
        </w:tc>
        <w:tc>
          <w:tcPr>
            <w:tcW w:w="0" w:type="auto"/>
            <w:shd w:val="clear" w:color="auto" w:fill="auto"/>
            <w:noWrap/>
            <w:vAlign w:val="bottom"/>
            <w:hideMark/>
          </w:tcPr>
          <w:p w14:paraId="1FA344BE" w14:textId="77777777" w:rsidR="00C86EBB" w:rsidRPr="005C1827" w:rsidRDefault="00C86EBB" w:rsidP="009B0A5E">
            <w:pPr>
              <w:spacing w:before="0" w:line="240" w:lineRule="auto"/>
              <w:jc w:val="both"/>
              <w:rPr>
                <w:rFonts w:eastAsia="Times New Roman" w:cstheme="minorHAnsi"/>
                <w:sz w:val="20"/>
                <w:szCs w:val="20"/>
              </w:rPr>
            </w:pPr>
            <w:r w:rsidRPr="005C1827">
              <w:rPr>
                <w:rFonts w:eastAsia="Times New Roman" w:cstheme="minorHAnsi"/>
                <w:sz w:val="20"/>
                <w:szCs w:val="20"/>
              </w:rPr>
              <w:t>100</w:t>
            </w:r>
          </w:p>
        </w:tc>
      </w:tr>
      <w:tr w:rsidR="00C86EBB" w:rsidRPr="005C1827" w14:paraId="39ECAA30" w14:textId="77777777" w:rsidTr="009B0A5E">
        <w:trPr>
          <w:trHeight w:val="20"/>
          <w:jc w:val="center"/>
        </w:trPr>
        <w:tc>
          <w:tcPr>
            <w:tcW w:w="0" w:type="auto"/>
            <w:shd w:val="clear" w:color="auto" w:fill="auto"/>
            <w:noWrap/>
            <w:vAlign w:val="bottom"/>
            <w:hideMark/>
          </w:tcPr>
          <w:p w14:paraId="35E3F36D" w14:textId="77777777" w:rsidR="00C86EBB" w:rsidRPr="005C1827" w:rsidRDefault="00C86EBB" w:rsidP="009B0A5E">
            <w:pPr>
              <w:spacing w:before="0" w:line="240" w:lineRule="auto"/>
              <w:jc w:val="both"/>
              <w:rPr>
                <w:rFonts w:eastAsia="Times New Roman" w:cstheme="minorHAnsi"/>
                <w:sz w:val="20"/>
                <w:szCs w:val="20"/>
              </w:rPr>
            </w:pPr>
            <w:r w:rsidRPr="005C1827">
              <w:rPr>
                <w:rFonts w:eastAsia="Times New Roman" w:cstheme="minorHAnsi"/>
                <w:sz w:val="20"/>
                <w:szCs w:val="20"/>
              </w:rPr>
              <w:t xml:space="preserve">Καλή </w:t>
            </w:r>
          </w:p>
        </w:tc>
        <w:tc>
          <w:tcPr>
            <w:tcW w:w="0" w:type="auto"/>
            <w:shd w:val="clear" w:color="auto" w:fill="auto"/>
            <w:noWrap/>
            <w:vAlign w:val="bottom"/>
            <w:hideMark/>
          </w:tcPr>
          <w:p w14:paraId="04FE6F8C" w14:textId="77777777" w:rsidR="00C86EBB" w:rsidRPr="005C1827" w:rsidRDefault="00C86EBB" w:rsidP="009B0A5E">
            <w:pPr>
              <w:spacing w:before="0" w:line="240" w:lineRule="auto"/>
              <w:jc w:val="both"/>
              <w:rPr>
                <w:rFonts w:eastAsia="Times New Roman" w:cstheme="minorHAnsi"/>
                <w:sz w:val="20"/>
                <w:szCs w:val="20"/>
              </w:rPr>
            </w:pPr>
            <w:r w:rsidRPr="005C1827">
              <w:rPr>
                <w:rFonts w:eastAsia="Times New Roman" w:cstheme="minorHAnsi"/>
                <w:sz w:val="20"/>
                <w:szCs w:val="20"/>
              </w:rPr>
              <w:t>BBB</w:t>
            </w:r>
          </w:p>
        </w:tc>
        <w:tc>
          <w:tcPr>
            <w:tcW w:w="0" w:type="auto"/>
            <w:shd w:val="clear" w:color="auto" w:fill="auto"/>
            <w:noWrap/>
            <w:vAlign w:val="bottom"/>
            <w:hideMark/>
          </w:tcPr>
          <w:p w14:paraId="300A0442" w14:textId="77777777" w:rsidR="00C86EBB" w:rsidRPr="005C1827" w:rsidRDefault="00C86EBB" w:rsidP="009B0A5E">
            <w:pPr>
              <w:spacing w:before="0" w:line="240" w:lineRule="auto"/>
              <w:jc w:val="both"/>
              <w:rPr>
                <w:rFonts w:eastAsia="Times New Roman" w:cstheme="minorHAnsi"/>
                <w:sz w:val="20"/>
                <w:szCs w:val="20"/>
              </w:rPr>
            </w:pPr>
            <w:r w:rsidRPr="005C1827">
              <w:rPr>
                <w:rFonts w:eastAsia="Times New Roman" w:cstheme="minorHAnsi"/>
                <w:sz w:val="20"/>
                <w:szCs w:val="20"/>
              </w:rPr>
              <w:t>75</w:t>
            </w:r>
          </w:p>
        </w:tc>
        <w:tc>
          <w:tcPr>
            <w:tcW w:w="0" w:type="auto"/>
            <w:shd w:val="clear" w:color="auto" w:fill="auto"/>
            <w:noWrap/>
            <w:vAlign w:val="bottom"/>
            <w:hideMark/>
          </w:tcPr>
          <w:p w14:paraId="0B522CE0" w14:textId="77777777" w:rsidR="00C86EBB" w:rsidRPr="005C1827" w:rsidRDefault="00C86EBB" w:rsidP="009B0A5E">
            <w:pPr>
              <w:spacing w:before="0" w:line="240" w:lineRule="auto"/>
              <w:jc w:val="both"/>
              <w:rPr>
                <w:rFonts w:eastAsia="Times New Roman" w:cstheme="minorHAnsi"/>
                <w:sz w:val="20"/>
                <w:szCs w:val="20"/>
              </w:rPr>
            </w:pPr>
            <w:r w:rsidRPr="005C1827">
              <w:rPr>
                <w:rFonts w:eastAsia="Times New Roman" w:cstheme="minorHAnsi"/>
                <w:sz w:val="20"/>
                <w:szCs w:val="20"/>
              </w:rPr>
              <w:t>100</w:t>
            </w:r>
          </w:p>
        </w:tc>
        <w:tc>
          <w:tcPr>
            <w:tcW w:w="0" w:type="auto"/>
            <w:shd w:val="clear" w:color="auto" w:fill="auto"/>
            <w:noWrap/>
            <w:vAlign w:val="bottom"/>
            <w:hideMark/>
          </w:tcPr>
          <w:p w14:paraId="6A903921" w14:textId="77777777" w:rsidR="00C86EBB" w:rsidRPr="005C1827" w:rsidRDefault="00C86EBB" w:rsidP="009B0A5E">
            <w:pPr>
              <w:spacing w:before="0" w:line="240" w:lineRule="auto"/>
              <w:jc w:val="both"/>
              <w:rPr>
                <w:rFonts w:eastAsia="Times New Roman" w:cstheme="minorHAnsi"/>
                <w:sz w:val="20"/>
                <w:szCs w:val="20"/>
              </w:rPr>
            </w:pPr>
            <w:r w:rsidRPr="005C1827">
              <w:rPr>
                <w:rFonts w:eastAsia="Times New Roman" w:cstheme="minorHAnsi"/>
                <w:sz w:val="20"/>
                <w:szCs w:val="20"/>
              </w:rPr>
              <w:t>220</w:t>
            </w:r>
          </w:p>
        </w:tc>
      </w:tr>
      <w:tr w:rsidR="00C86EBB" w:rsidRPr="005C1827" w14:paraId="3F7D1214" w14:textId="77777777" w:rsidTr="009B0A5E">
        <w:trPr>
          <w:trHeight w:val="20"/>
          <w:jc w:val="center"/>
        </w:trPr>
        <w:tc>
          <w:tcPr>
            <w:tcW w:w="0" w:type="auto"/>
            <w:shd w:val="clear" w:color="auto" w:fill="auto"/>
            <w:noWrap/>
            <w:vAlign w:val="bottom"/>
            <w:hideMark/>
          </w:tcPr>
          <w:p w14:paraId="4749CF4D" w14:textId="77777777" w:rsidR="00C86EBB" w:rsidRPr="005C1827" w:rsidRDefault="00C86EBB" w:rsidP="009B0A5E">
            <w:pPr>
              <w:spacing w:before="0" w:line="240" w:lineRule="auto"/>
              <w:jc w:val="both"/>
              <w:rPr>
                <w:rFonts w:eastAsia="Times New Roman" w:cstheme="minorHAnsi"/>
                <w:sz w:val="20"/>
                <w:szCs w:val="20"/>
              </w:rPr>
            </w:pPr>
            <w:r w:rsidRPr="005C1827">
              <w:rPr>
                <w:rFonts w:eastAsia="Times New Roman" w:cstheme="minorHAnsi"/>
                <w:sz w:val="20"/>
                <w:szCs w:val="20"/>
              </w:rPr>
              <w:t>Ικανοποιητική</w:t>
            </w:r>
          </w:p>
        </w:tc>
        <w:tc>
          <w:tcPr>
            <w:tcW w:w="0" w:type="auto"/>
            <w:shd w:val="clear" w:color="auto" w:fill="auto"/>
            <w:noWrap/>
            <w:vAlign w:val="bottom"/>
            <w:hideMark/>
          </w:tcPr>
          <w:p w14:paraId="75A28AF8" w14:textId="77777777" w:rsidR="00C86EBB" w:rsidRPr="005C1827" w:rsidRDefault="00C86EBB" w:rsidP="009B0A5E">
            <w:pPr>
              <w:spacing w:before="0" w:line="240" w:lineRule="auto"/>
              <w:jc w:val="both"/>
              <w:rPr>
                <w:rFonts w:eastAsia="Times New Roman" w:cstheme="minorHAnsi"/>
                <w:sz w:val="20"/>
                <w:szCs w:val="20"/>
              </w:rPr>
            </w:pPr>
            <w:r w:rsidRPr="005C1827">
              <w:rPr>
                <w:rFonts w:eastAsia="Times New Roman" w:cstheme="minorHAnsi"/>
                <w:sz w:val="20"/>
                <w:szCs w:val="20"/>
              </w:rPr>
              <w:t>BB</w:t>
            </w:r>
          </w:p>
        </w:tc>
        <w:tc>
          <w:tcPr>
            <w:tcW w:w="0" w:type="auto"/>
            <w:shd w:val="clear" w:color="auto" w:fill="auto"/>
            <w:noWrap/>
            <w:vAlign w:val="bottom"/>
            <w:hideMark/>
          </w:tcPr>
          <w:p w14:paraId="77BA4FAA" w14:textId="77777777" w:rsidR="00C86EBB" w:rsidRPr="005C1827" w:rsidRDefault="00C86EBB" w:rsidP="009B0A5E">
            <w:pPr>
              <w:spacing w:before="0" w:line="240" w:lineRule="auto"/>
              <w:jc w:val="both"/>
              <w:rPr>
                <w:rFonts w:eastAsia="Times New Roman" w:cstheme="minorHAnsi"/>
                <w:sz w:val="20"/>
                <w:szCs w:val="20"/>
              </w:rPr>
            </w:pPr>
            <w:r w:rsidRPr="005C1827">
              <w:rPr>
                <w:rFonts w:eastAsia="Times New Roman" w:cstheme="minorHAnsi"/>
                <w:sz w:val="20"/>
                <w:szCs w:val="20"/>
              </w:rPr>
              <w:t>100</w:t>
            </w:r>
          </w:p>
        </w:tc>
        <w:tc>
          <w:tcPr>
            <w:tcW w:w="0" w:type="auto"/>
            <w:shd w:val="clear" w:color="auto" w:fill="auto"/>
            <w:noWrap/>
            <w:vAlign w:val="bottom"/>
            <w:hideMark/>
          </w:tcPr>
          <w:p w14:paraId="418F2B76" w14:textId="77777777" w:rsidR="00C86EBB" w:rsidRPr="005C1827" w:rsidRDefault="00C86EBB" w:rsidP="009B0A5E">
            <w:pPr>
              <w:spacing w:before="0" w:line="240" w:lineRule="auto"/>
              <w:jc w:val="both"/>
              <w:rPr>
                <w:rFonts w:eastAsia="Times New Roman" w:cstheme="minorHAnsi"/>
                <w:sz w:val="20"/>
                <w:szCs w:val="20"/>
              </w:rPr>
            </w:pPr>
            <w:r w:rsidRPr="005C1827">
              <w:rPr>
                <w:rFonts w:eastAsia="Times New Roman" w:cstheme="minorHAnsi"/>
                <w:sz w:val="20"/>
                <w:szCs w:val="20"/>
              </w:rPr>
              <w:t>220</w:t>
            </w:r>
          </w:p>
        </w:tc>
        <w:tc>
          <w:tcPr>
            <w:tcW w:w="0" w:type="auto"/>
            <w:shd w:val="clear" w:color="auto" w:fill="auto"/>
            <w:noWrap/>
            <w:vAlign w:val="bottom"/>
            <w:hideMark/>
          </w:tcPr>
          <w:p w14:paraId="2C832DB4" w14:textId="77777777" w:rsidR="00C86EBB" w:rsidRPr="005C1827" w:rsidRDefault="00C86EBB" w:rsidP="009B0A5E">
            <w:pPr>
              <w:spacing w:before="0" w:line="240" w:lineRule="auto"/>
              <w:jc w:val="both"/>
              <w:rPr>
                <w:rFonts w:eastAsia="Times New Roman" w:cstheme="minorHAnsi"/>
                <w:sz w:val="20"/>
                <w:szCs w:val="20"/>
              </w:rPr>
            </w:pPr>
            <w:r w:rsidRPr="005C1827">
              <w:rPr>
                <w:rFonts w:eastAsia="Times New Roman" w:cstheme="minorHAnsi"/>
                <w:sz w:val="20"/>
                <w:szCs w:val="20"/>
              </w:rPr>
              <w:t>400</w:t>
            </w:r>
          </w:p>
        </w:tc>
      </w:tr>
      <w:tr w:rsidR="00C86EBB" w:rsidRPr="005C1827" w14:paraId="4659542D" w14:textId="77777777" w:rsidTr="009B0A5E">
        <w:trPr>
          <w:trHeight w:val="20"/>
          <w:jc w:val="center"/>
        </w:trPr>
        <w:tc>
          <w:tcPr>
            <w:tcW w:w="0" w:type="auto"/>
            <w:shd w:val="clear" w:color="auto" w:fill="auto"/>
            <w:noWrap/>
            <w:vAlign w:val="bottom"/>
            <w:hideMark/>
          </w:tcPr>
          <w:p w14:paraId="3C2B723E" w14:textId="77777777" w:rsidR="00C86EBB" w:rsidRPr="005C1827" w:rsidRDefault="00C86EBB" w:rsidP="009B0A5E">
            <w:pPr>
              <w:spacing w:before="0" w:line="240" w:lineRule="auto"/>
              <w:jc w:val="both"/>
              <w:rPr>
                <w:rFonts w:eastAsia="Times New Roman" w:cstheme="minorHAnsi"/>
                <w:sz w:val="20"/>
                <w:szCs w:val="20"/>
              </w:rPr>
            </w:pPr>
            <w:r w:rsidRPr="005C1827">
              <w:rPr>
                <w:rFonts w:eastAsia="Times New Roman" w:cstheme="minorHAnsi"/>
                <w:sz w:val="20"/>
                <w:szCs w:val="20"/>
              </w:rPr>
              <w:t>Χαμηλή</w:t>
            </w:r>
          </w:p>
        </w:tc>
        <w:tc>
          <w:tcPr>
            <w:tcW w:w="0" w:type="auto"/>
            <w:shd w:val="clear" w:color="auto" w:fill="auto"/>
            <w:noWrap/>
            <w:vAlign w:val="bottom"/>
            <w:hideMark/>
          </w:tcPr>
          <w:p w14:paraId="69CA7A5B" w14:textId="77777777" w:rsidR="00C86EBB" w:rsidRPr="005C1827" w:rsidRDefault="00C86EBB" w:rsidP="009B0A5E">
            <w:pPr>
              <w:spacing w:before="0" w:line="240" w:lineRule="auto"/>
              <w:jc w:val="both"/>
              <w:rPr>
                <w:rFonts w:eastAsia="Times New Roman" w:cstheme="minorHAnsi"/>
                <w:sz w:val="20"/>
                <w:szCs w:val="20"/>
              </w:rPr>
            </w:pPr>
            <w:r w:rsidRPr="005C1827">
              <w:rPr>
                <w:rFonts w:eastAsia="Times New Roman" w:cstheme="minorHAnsi"/>
                <w:sz w:val="20"/>
                <w:szCs w:val="20"/>
              </w:rPr>
              <w:t>B</w:t>
            </w:r>
          </w:p>
        </w:tc>
        <w:tc>
          <w:tcPr>
            <w:tcW w:w="0" w:type="auto"/>
            <w:shd w:val="clear" w:color="auto" w:fill="auto"/>
            <w:noWrap/>
            <w:vAlign w:val="bottom"/>
            <w:hideMark/>
          </w:tcPr>
          <w:p w14:paraId="17C4D9FD" w14:textId="77777777" w:rsidR="00C86EBB" w:rsidRPr="005C1827" w:rsidRDefault="00C86EBB" w:rsidP="009B0A5E">
            <w:pPr>
              <w:spacing w:before="0" w:line="240" w:lineRule="auto"/>
              <w:jc w:val="both"/>
              <w:rPr>
                <w:rFonts w:eastAsia="Times New Roman" w:cstheme="minorHAnsi"/>
                <w:sz w:val="20"/>
                <w:szCs w:val="20"/>
              </w:rPr>
            </w:pPr>
            <w:r w:rsidRPr="005C1827">
              <w:rPr>
                <w:rFonts w:eastAsia="Times New Roman" w:cstheme="minorHAnsi"/>
                <w:sz w:val="20"/>
                <w:szCs w:val="20"/>
              </w:rPr>
              <w:t>220</w:t>
            </w:r>
          </w:p>
        </w:tc>
        <w:tc>
          <w:tcPr>
            <w:tcW w:w="0" w:type="auto"/>
            <w:shd w:val="clear" w:color="auto" w:fill="auto"/>
            <w:noWrap/>
            <w:vAlign w:val="bottom"/>
            <w:hideMark/>
          </w:tcPr>
          <w:p w14:paraId="75EB8C15" w14:textId="77777777" w:rsidR="00C86EBB" w:rsidRPr="005C1827" w:rsidRDefault="00C86EBB" w:rsidP="009B0A5E">
            <w:pPr>
              <w:spacing w:before="0" w:line="240" w:lineRule="auto"/>
              <w:jc w:val="both"/>
              <w:rPr>
                <w:rFonts w:eastAsia="Times New Roman" w:cstheme="minorHAnsi"/>
                <w:sz w:val="20"/>
                <w:szCs w:val="20"/>
              </w:rPr>
            </w:pPr>
            <w:r w:rsidRPr="005C1827">
              <w:rPr>
                <w:rFonts w:eastAsia="Times New Roman" w:cstheme="minorHAnsi"/>
                <w:sz w:val="20"/>
                <w:szCs w:val="20"/>
              </w:rPr>
              <w:t>400</w:t>
            </w:r>
          </w:p>
        </w:tc>
        <w:tc>
          <w:tcPr>
            <w:tcW w:w="0" w:type="auto"/>
            <w:shd w:val="clear" w:color="auto" w:fill="auto"/>
            <w:noWrap/>
            <w:vAlign w:val="bottom"/>
            <w:hideMark/>
          </w:tcPr>
          <w:p w14:paraId="686A0547" w14:textId="77777777" w:rsidR="00C86EBB" w:rsidRPr="005C1827" w:rsidRDefault="00C86EBB" w:rsidP="009B0A5E">
            <w:pPr>
              <w:spacing w:before="0" w:line="240" w:lineRule="auto"/>
              <w:jc w:val="both"/>
              <w:rPr>
                <w:rFonts w:eastAsia="Times New Roman" w:cstheme="minorHAnsi"/>
                <w:sz w:val="20"/>
                <w:szCs w:val="20"/>
              </w:rPr>
            </w:pPr>
            <w:r w:rsidRPr="005C1827">
              <w:rPr>
                <w:rFonts w:eastAsia="Times New Roman" w:cstheme="minorHAnsi"/>
                <w:sz w:val="20"/>
                <w:szCs w:val="20"/>
              </w:rPr>
              <w:t>650</w:t>
            </w:r>
          </w:p>
        </w:tc>
      </w:tr>
      <w:tr w:rsidR="00C86EBB" w:rsidRPr="005C1827" w14:paraId="23E531B3" w14:textId="77777777" w:rsidTr="009B0A5E">
        <w:trPr>
          <w:trHeight w:val="20"/>
          <w:jc w:val="center"/>
        </w:trPr>
        <w:tc>
          <w:tcPr>
            <w:tcW w:w="0" w:type="auto"/>
            <w:shd w:val="clear" w:color="auto" w:fill="auto"/>
            <w:noWrap/>
            <w:vAlign w:val="bottom"/>
            <w:hideMark/>
          </w:tcPr>
          <w:p w14:paraId="6BFF24F3" w14:textId="77777777" w:rsidR="00C86EBB" w:rsidRPr="005C1827" w:rsidRDefault="00C86EBB" w:rsidP="009B0A5E">
            <w:pPr>
              <w:spacing w:before="0" w:line="240" w:lineRule="auto"/>
              <w:jc w:val="both"/>
              <w:rPr>
                <w:rFonts w:eastAsia="Times New Roman" w:cstheme="minorHAnsi"/>
                <w:sz w:val="20"/>
                <w:szCs w:val="20"/>
              </w:rPr>
            </w:pPr>
            <w:r w:rsidRPr="005C1827">
              <w:rPr>
                <w:rFonts w:eastAsia="Times New Roman" w:cstheme="minorHAnsi"/>
                <w:sz w:val="20"/>
                <w:szCs w:val="20"/>
              </w:rPr>
              <w:t>Κακή / Οικονομικές δυσχέρειες</w:t>
            </w:r>
          </w:p>
        </w:tc>
        <w:tc>
          <w:tcPr>
            <w:tcW w:w="0" w:type="auto"/>
            <w:shd w:val="clear" w:color="auto" w:fill="auto"/>
            <w:noWrap/>
            <w:vAlign w:val="bottom"/>
            <w:hideMark/>
          </w:tcPr>
          <w:p w14:paraId="36397FFB" w14:textId="77777777" w:rsidR="00C86EBB" w:rsidRPr="005C1827" w:rsidRDefault="00C86EBB" w:rsidP="009B0A5E">
            <w:pPr>
              <w:spacing w:before="0" w:line="240" w:lineRule="auto"/>
              <w:jc w:val="both"/>
              <w:rPr>
                <w:rFonts w:eastAsia="Times New Roman" w:cstheme="minorHAnsi"/>
                <w:sz w:val="20"/>
                <w:szCs w:val="20"/>
              </w:rPr>
            </w:pPr>
            <w:r w:rsidRPr="005C1827">
              <w:rPr>
                <w:rFonts w:eastAsia="Times New Roman" w:cstheme="minorHAnsi"/>
                <w:sz w:val="20"/>
                <w:szCs w:val="20"/>
              </w:rPr>
              <w:t>CCC και κάτω</w:t>
            </w:r>
          </w:p>
        </w:tc>
        <w:tc>
          <w:tcPr>
            <w:tcW w:w="0" w:type="auto"/>
            <w:shd w:val="clear" w:color="auto" w:fill="auto"/>
            <w:noWrap/>
            <w:vAlign w:val="bottom"/>
            <w:hideMark/>
          </w:tcPr>
          <w:p w14:paraId="56EF83D8" w14:textId="77777777" w:rsidR="00C86EBB" w:rsidRPr="005C1827" w:rsidRDefault="00C86EBB" w:rsidP="009B0A5E">
            <w:pPr>
              <w:spacing w:before="0" w:line="240" w:lineRule="auto"/>
              <w:jc w:val="both"/>
              <w:rPr>
                <w:rFonts w:eastAsia="Times New Roman" w:cstheme="minorHAnsi"/>
                <w:sz w:val="20"/>
                <w:szCs w:val="20"/>
              </w:rPr>
            </w:pPr>
            <w:r w:rsidRPr="005C1827">
              <w:rPr>
                <w:rFonts w:eastAsia="Times New Roman" w:cstheme="minorHAnsi"/>
                <w:sz w:val="20"/>
                <w:szCs w:val="20"/>
              </w:rPr>
              <w:t>400</w:t>
            </w:r>
          </w:p>
        </w:tc>
        <w:tc>
          <w:tcPr>
            <w:tcW w:w="0" w:type="auto"/>
            <w:shd w:val="clear" w:color="auto" w:fill="auto"/>
            <w:noWrap/>
            <w:vAlign w:val="bottom"/>
            <w:hideMark/>
          </w:tcPr>
          <w:p w14:paraId="3DA1D022" w14:textId="77777777" w:rsidR="00C86EBB" w:rsidRPr="005C1827" w:rsidRDefault="00C86EBB" w:rsidP="009B0A5E">
            <w:pPr>
              <w:spacing w:before="0" w:line="240" w:lineRule="auto"/>
              <w:jc w:val="both"/>
              <w:rPr>
                <w:rFonts w:eastAsia="Times New Roman" w:cstheme="minorHAnsi"/>
                <w:sz w:val="20"/>
                <w:szCs w:val="20"/>
              </w:rPr>
            </w:pPr>
            <w:r w:rsidRPr="005C1827">
              <w:rPr>
                <w:rFonts w:eastAsia="Times New Roman" w:cstheme="minorHAnsi"/>
                <w:sz w:val="20"/>
                <w:szCs w:val="20"/>
              </w:rPr>
              <w:t>650</w:t>
            </w:r>
          </w:p>
        </w:tc>
        <w:tc>
          <w:tcPr>
            <w:tcW w:w="0" w:type="auto"/>
            <w:shd w:val="clear" w:color="auto" w:fill="auto"/>
            <w:noWrap/>
            <w:vAlign w:val="bottom"/>
            <w:hideMark/>
          </w:tcPr>
          <w:p w14:paraId="03BA79F4" w14:textId="77777777" w:rsidR="00C86EBB" w:rsidRPr="005C1827" w:rsidRDefault="00C86EBB" w:rsidP="009B0A5E">
            <w:pPr>
              <w:spacing w:before="0" w:line="240" w:lineRule="auto"/>
              <w:jc w:val="both"/>
              <w:rPr>
                <w:rFonts w:eastAsia="Times New Roman" w:cstheme="minorHAnsi"/>
                <w:sz w:val="20"/>
                <w:szCs w:val="20"/>
              </w:rPr>
            </w:pPr>
            <w:r w:rsidRPr="005C1827">
              <w:rPr>
                <w:rFonts w:eastAsia="Times New Roman" w:cstheme="minorHAnsi"/>
                <w:sz w:val="20"/>
                <w:szCs w:val="20"/>
              </w:rPr>
              <w:t>1000</w:t>
            </w:r>
          </w:p>
        </w:tc>
      </w:tr>
    </w:tbl>
    <w:p w14:paraId="2AB07260" w14:textId="77777777" w:rsidR="00C86EBB" w:rsidRPr="005C1827" w:rsidRDefault="00C86EBB" w:rsidP="00C86EBB">
      <w:pPr>
        <w:spacing w:before="0" w:after="160" w:line="259" w:lineRule="auto"/>
      </w:pPr>
    </w:p>
    <w:p w14:paraId="1AFFB8A9" w14:textId="2372AAD9" w:rsidR="00C86EBB" w:rsidRPr="005C1827" w:rsidRDefault="00675112">
      <w:pPr>
        <w:spacing w:before="0" w:after="160" w:line="259" w:lineRule="auto"/>
      </w:pPr>
      <w:r>
        <w:t>Η</w:t>
      </w:r>
      <w:r w:rsidR="00C86EBB" w:rsidRPr="005C1827">
        <w:t xml:space="preserve"> Ανακοίνωση προβλέπει ότι «Για δανειολήπτες που δεν έχουν πιστωτικό ιστορικό ή βαθμολογία που βασίζεται στον ισολογισμό, όπως ορισμένες εταιρείες ειδικού σκοπού ή επιχειρήσεις στη φάση της εκκίνησης (start-ups), το βασικό επιτόκιο πρέπει να προσαυξάνεται κατά τουλάχιστον 400 </w:t>
      </w:r>
      <w:r w:rsidR="00C86EBB" w:rsidRPr="005C1827">
        <w:lastRenderedPageBreak/>
        <w:t xml:space="preserve">μονάδες βάσης (ανάλογα με τις παρεχόμενες εξασφαλίσεις) και το περιθώριο δεν μπορεί ποτέ να είναι χαμηλότερο από εκείνο που θα εφαρμοζόταν για τη μητρική επιχείρηση </w:t>
      </w:r>
    </w:p>
    <w:p w14:paraId="613AE03E" w14:textId="7F6BB8FC" w:rsidR="006A1389" w:rsidRPr="005C1827" w:rsidRDefault="006A1389" w:rsidP="006A1389">
      <w:pPr>
        <w:rPr>
          <w:rFonts w:ascii="Calibri" w:eastAsia="Calibri" w:hAnsi="Calibri" w:cs="Calibri"/>
        </w:rPr>
      </w:pPr>
      <w:r w:rsidRPr="005C1827">
        <w:rPr>
          <w:rFonts w:ascii="Calibri" w:eastAsia="Calibri" w:hAnsi="Calibri" w:cs="Calibri"/>
        </w:rPr>
        <w:t xml:space="preserve">Εφόσον το ζητούμενο επιτόκιο από το </w:t>
      </w:r>
      <w:r w:rsidR="00F61C6F" w:rsidRPr="005C1827">
        <w:t xml:space="preserve">επενδυτικό σχέδιο </w:t>
      </w:r>
      <w:r w:rsidRPr="005C1827">
        <w:rPr>
          <w:rFonts w:ascii="Calibri" w:eastAsia="Calibri" w:hAnsi="Calibri" w:cs="Calibri"/>
        </w:rPr>
        <w:t xml:space="preserve">είναι μικρότερο από το επιτόκιο αναφοράς (reference rate) της επένδυσης, τότε </w:t>
      </w:r>
      <w:r w:rsidRPr="005C1827">
        <w:rPr>
          <w:rFonts w:ascii="Calibri" w:eastAsia="Calibri" w:hAnsi="Calibri" w:cs="Calibri"/>
          <w:lang w:val="el"/>
        </w:rPr>
        <w:t>εξετάζονται οι επιλέξιμες δαπάνες προς χρηματοδότηση από το ΤΑΑ, ως προς την επιλεξιμότητα τους από το πλαίσιο κρατικών ενισχύσεων που αιτείται ο επενδυτής (</w:t>
      </w:r>
      <w:r w:rsidRPr="005C1827">
        <w:rPr>
          <w:rFonts w:ascii="Calibri" w:eastAsia="Calibri" w:hAnsi="Calibri" w:cs="Calibri"/>
        </w:rPr>
        <w:t>De Minimis ή ΓΑΚ). Οι επιλέξιμες δαπάνες των οποίων η ενίσχυση είναι συμβατή με το πλαίσιο κρατικών ενισχύσεων χαρακτηρίζονται ως ενισχυόμενες δαπάνες και περιλαμβάνονται στον ενισχυόμενο προϋπολογισμό του δανείου του ΤΑΑ. Εφόσον οι επιλέξιμες δαπάνες προς χρηματοδότηση από το ΤΑΑ δεν είναι συμβατές με το πλαίσιο κρατικών ενισχύσεων χαρακτηρίζονται ως μη ενισχυόμενες και δεν περιλαμβάνονται στον ενισχυόμενο προϋπολογισμό του δανείου του ΤΑΑ.</w:t>
      </w:r>
    </w:p>
    <w:p w14:paraId="2C9B987D" w14:textId="3C185332" w:rsidR="006A1389" w:rsidRPr="005C1827" w:rsidRDefault="006A1389" w:rsidP="006A1389">
      <w:pPr>
        <w:rPr>
          <w:rFonts w:ascii="Calibri" w:eastAsia="Calibri" w:hAnsi="Calibri" w:cs="Calibri"/>
        </w:rPr>
      </w:pPr>
      <w:r w:rsidRPr="005C1827">
        <w:rPr>
          <w:rFonts w:ascii="Calibri" w:eastAsia="Calibri" w:hAnsi="Calibri" w:cs="Calibri"/>
        </w:rPr>
        <w:t>Ανάλογα με το πλαίσιο κρατικών ενισχύσεων, υπολογίζεται η μέγιστη κρατική ενίσχυση που αναλογεί στις ενισχυόμενες δαπάνες του ΕΣ.</w:t>
      </w:r>
      <w:r w:rsidR="0020401F" w:rsidRPr="005C1827">
        <w:rPr>
          <w:rFonts w:ascii="Calibri" w:eastAsia="Calibri" w:hAnsi="Calibri" w:cs="Calibri"/>
        </w:rPr>
        <w:t xml:space="preserve"> </w:t>
      </w:r>
      <w:r w:rsidRPr="005C1827">
        <w:rPr>
          <w:rFonts w:ascii="Calibri" w:eastAsia="Calibri" w:hAnsi="Calibri" w:cs="Calibri"/>
        </w:rPr>
        <w:t>Με βάση τον ενισχυόμενο προϋπολογισμό του δανείου του ΤΑΑ, καθώς και τις επιλέξιμες ποσοστώσεις δανείου, υπολογίζεται το κεφάλαιο του δανείου του ΤΑΑ.  Με βάση το κεφάλαιο του δανείου ΤΑΑ υπολογίζεται το ακαθάριστο ισοδύναμο επιχορήγησης που προκύπτει από το ζητούμενο επιτόκιο</w:t>
      </w:r>
      <w:r w:rsidR="00C7217A" w:rsidRPr="005C1827">
        <w:rPr>
          <w:rFonts w:ascii="Calibri" w:eastAsia="Calibri" w:hAnsi="Calibri" w:cs="Calibri"/>
        </w:rPr>
        <w:t xml:space="preserve"> και τη διάρκεια</w:t>
      </w:r>
      <w:r w:rsidRPr="005C1827">
        <w:rPr>
          <w:rFonts w:ascii="Calibri" w:eastAsia="Calibri" w:hAnsi="Calibri" w:cs="Calibri"/>
        </w:rPr>
        <w:t xml:space="preserve"> του δανείου ΤΑΑ.</w:t>
      </w:r>
    </w:p>
    <w:p w14:paraId="6835CA66" w14:textId="77777777" w:rsidR="006A1389" w:rsidRPr="005C1827" w:rsidRDefault="006A1389" w:rsidP="006A1389">
      <w:pPr>
        <w:rPr>
          <w:rFonts w:ascii="Calibri" w:eastAsia="Calibri" w:hAnsi="Calibri" w:cs="Calibri"/>
        </w:rPr>
      </w:pPr>
      <w:r w:rsidRPr="005C1827">
        <w:rPr>
          <w:rFonts w:ascii="Calibri" w:eastAsia="Calibri" w:hAnsi="Calibri" w:cs="Calibri"/>
        </w:rPr>
        <w:t>Ελέγχεται εάν το ακαθάριστο ισοδύναμο επιχορήγησης του δανείου ΤΑΑ ξεπερνά τη μέγιστη κρατική ενίσχυση των ενισχυόμενων δαπανών, εάν δεν το ξεπερνά, η κρατική ενίσχυση κρίνεται ως συμβατή με τους κανόνες κρατικών ενισχύσεων και ολοκληρώνεται η αξιολόγηση.</w:t>
      </w:r>
    </w:p>
    <w:p w14:paraId="745E6296" w14:textId="77777777" w:rsidR="00414330" w:rsidRPr="005C1827" w:rsidRDefault="006A1389" w:rsidP="006A1389">
      <w:pPr>
        <w:rPr>
          <w:rFonts w:ascii="Calibri" w:eastAsia="Calibri" w:hAnsi="Calibri" w:cs="Calibri"/>
        </w:rPr>
      </w:pPr>
      <w:r w:rsidRPr="005C1827">
        <w:rPr>
          <w:rFonts w:ascii="Calibri" w:eastAsia="Calibri" w:hAnsi="Calibri" w:cs="Calibri"/>
        </w:rPr>
        <w:t>Εφόσον το ακαθάριστο ισοδύναμο επιχορήγηση</w:t>
      </w:r>
      <w:r w:rsidR="5482B07C" w:rsidRPr="005C1827">
        <w:rPr>
          <w:rFonts w:ascii="Calibri" w:eastAsia="Calibri" w:hAnsi="Calibri" w:cs="Calibri"/>
        </w:rPr>
        <w:t>ς</w:t>
      </w:r>
      <w:r w:rsidRPr="005C1827">
        <w:rPr>
          <w:rFonts w:ascii="Calibri" w:eastAsia="Calibri" w:hAnsi="Calibri" w:cs="Calibri"/>
        </w:rPr>
        <w:t xml:space="preserve"> του δανείου ΤΑΑ ξεπερνά τη μέγιστη κρατική ενίσχυση των ενισχυόμενων δαπανών, τότε υπολογίζεται η ελάχιστη τιμή του επιτοκίου του δανείου ΤΑΑ με την οποία το ακαθάριστο ισοδύναμο επιχορήγησης είναι ίσο με τη μέγιστη κρατική ενίσχυση των ενισχυόμενων δαπανών.  Στην περίπτωση αυτή, η ζητούμενη κρατική ενίσχυση κρίνεται ως μη συμβατή με τους κανόνες κρατικών ενισχύσεων, κοινοποιείται η ασυμβατότητα σ</w:t>
      </w:r>
      <w:r w:rsidR="002C6386" w:rsidRPr="005C1827">
        <w:rPr>
          <w:rFonts w:ascii="Calibri" w:eastAsia="Calibri" w:hAnsi="Calibri" w:cs="Calibri"/>
        </w:rPr>
        <w:t xml:space="preserve">το τραπεζικό ίδρυμα </w:t>
      </w:r>
      <w:r w:rsidRPr="005C1827">
        <w:rPr>
          <w:rFonts w:ascii="Calibri" w:eastAsia="Calibri" w:hAnsi="Calibri" w:cs="Calibri"/>
        </w:rPr>
        <w:t>μαζί με την ελάχιστη τιμή του επιτοκίου του δανείου του ΤΑΑ με την οποία η ενίσχυση δύναται να είναι συμβατή με τους κανόνες κρατικών ενισχύσεων.</w:t>
      </w:r>
      <w:r w:rsidR="0020401F" w:rsidRPr="005C1827">
        <w:rPr>
          <w:rFonts w:ascii="Calibri" w:eastAsia="Calibri" w:hAnsi="Calibri" w:cs="Calibri"/>
        </w:rPr>
        <w:t xml:space="preserve"> Στην περίπτωση </w:t>
      </w:r>
      <w:r w:rsidR="00414330" w:rsidRPr="005C1827">
        <w:rPr>
          <w:rFonts w:ascii="Calibri" w:eastAsia="Calibri" w:hAnsi="Calibri" w:cs="Calibri"/>
        </w:rPr>
        <w:t>αυτή το επενδυτικό σχέδιο δύναται να επαναξιολογηθεί, εφόσον:</w:t>
      </w:r>
    </w:p>
    <w:p w14:paraId="01425529" w14:textId="23297A6B" w:rsidR="00414330" w:rsidRPr="005C1827" w:rsidRDefault="00414330" w:rsidP="00414330">
      <w:pPr>
        <w:pStyle w:val="a8"/>
        <w:numPr>
          <w:ilvl w:val="0"/>
          <w:numId w:val="64"/>
        </w:numPr>
        <w:rPr>
          <w:rFonts w:eastAsia="Calibri" w:cs="Calibri"/>
        </w:rPr>
      </w:pPr>
      <w:r w:rsidRPr="005C1827">
        <w:rPr>
          <w:rFonts w:eastAsia="Calibri" w:cs="Calibri"/>
        </w:rPr>
        <w:t>ζητηθεί από τον επενδυτή επιτόκιο ίσο με την ελάχιστη τιμή του επιτοκίου του δανείου του ΤΑΑ με την οποία η ενίσχυση δύναται να είναι συμβατή με τους κανόνες κρατικών ενισχύσεων,</w:t>
      </w:r>
    </w:p>
    <w:p w14:paraId="23EC13D8" w14:textId="5211F59A" w:rsidR="0086101C" w:rsidRPr="005C1827" w:rsidRDefault="00414330" w:rsidP="00414330">
      <w:pPr>
        <w:pStyle w:val="a8"/>
        <w:numPr>
          <w:ilvl w:val="0"/>
          <w:numId w:val="64"/>
        </w:numPr>
        <w:rPr>
          <w:rFonts w:eastAsia="Calibri" w:cs="Calibri"/>
        </w:rPr>
      </w:pPr>
      <w:r w:rsidRPr="005C1827">
        <w:rPr>
          <w:rFonts w:eastAsia="Calibri" w:cs="Calibri"/>
        </w:rPr>
        <w:t>αναπροσαρμοσθεί η τιμή του επιτοκίου αναφοράς (βελτίωση βαθμολογίας επενδυτή ή βελτίωση εξασφαλίσεων) με την οποία η ενίσχυση δύναται να είναι συμβατή με τους κανόνες κρατικών ενισχύσεων.</w:t>
      </w:r>
    </w:p>
    <w:p w14:paraId="44E3A169" w14:textId="43AC9DFF" w:rsidR="00087876" w:rsidRPr="005C1827" w:rsidRDefault="00087876" w:rsidP="00087876">
      <w:pPr>
        <w:pStyle w:val="2"/>
        <w:rPr>
          <w:color w:val="auto"/>
        </w:rPr>
      </w:pPr>
      <w:bookmarkStart w:id="10" w:name="_Toc83050014"/>
      <w:r w:rsidRPr="005C1827">
        <w:rPr>
          <w:color w:val="auto"/>
        </w:rPr>
        <w:t xml:space="preserve">Έκθεση Αξιολόγησης </w:t>
      </w:r>
      <w:r w:rsidR="001D2A99" w:rsidRPr="005C1827">
        <w:rPr>
          <w:color w:val="auto"/>
        </w:rPr>
        <w:t>πιστοποιημένο ανεξάρτητο ελεγκτή</w:t>
      </w:r>
      <w:bookmarkEnd w:id="10"/>
    </w:p>
    <w:p w14:paraId="4D329D6C" w14:textId="11F91837" w:rsidR="000807FE" w:rsidRPr="005C1827" w:rsidRDefault="000807FE" w:rsidP="000807FE">
      <w:r w:rsidRPr="005C1827">
        <w:t xml:space="preserve">Ο </w:t>
      </w:r>
      <w:r w:rsidR="001D2A99" w:rsidRPr="005C1827">
        <w:t>πιστοποιημένο</w:t>
      </w:r>
      <w:r w:rsidR="00414330" w:rsidRPr="005C1827">
        <w:t>ς</w:t>
      </w:r>
      <w:r w:rsidR="001D2A99" w:rsidRPr="005C1827">
        <w:t xml:space="preserve"> ανεξάρτητο</w:t>
      </w:r>
      <w:r w:rsidR="00414330" w:rsidRPr="005C1827">
        <w:t>ς</w:t>
      </w:r>
      <w:r w:rsidR="001D2A99" w:rsidRPr="005C1827">
        <w:t xml:space="preserve"> ελεγκτή</w:t>
      </w:r>
      <w:r w:rsidR="00414330" w:rsidRPr="005C1827">
        <w:t>ς</w:t>
      </w:r>
      <w:r w:rsidRPr="005C1827">
        <w:t xml:space="preserve"> σύμφωνα με τις παραπάνω αξιολογήσεις, επαληθεύει τη συμβατότητα της προέγκρισης του δανείου ΤΑΑ, το ελάχιστο επιτόκιο καθώς και τα ελάχιστα και μέγιστα όρια της περιόδου του δανείου του ΤΑΑ, όπως ορίζονται </w:t>
      </w:r>
      <w:r w:rsidR="00692787" w:rsidRPr="005C1827">
        <w:t xml:space="preserve">στις σχετικές </w:t>
      </w:r>
      <w:r w:rsidRPr="005C1827">
        <w:t>Υπουργικ</w:t>
      </w:r>
      <w:r w:rsidR="00692787" w:rsidRPr="005C1827">
        <w:t>ές Αποφάσεις</w:t>
      </w:r>
      <w:r w:rsidRPr="005C1827">
        <w:t>.</w:t>
      </w:r>
    </w:p>
    <w:p w14:paraId="5F846C7F" w14:textId="1C22B406" w:rsidR="000807FE" w:rsidRPr="005C1827" w:rsidRDefault="000807FE" w:rsidP="00F23E9E">
      <w:pPr>
        <w:pStyle w:val="a8"/>
        <w:numPr>
          <w:ilvl w:val="0"/>
          <w:numId w:val="48"/>
        </w:numPr>
      </w:pPr>
      <w:r w:rsidRPr="005C1827">
        <w:t xml:space="preserve">Το ελάχιστο επιτόκιο του δανείου του ΤΑΑ ορίζεται σε </w:t>
      </w:r>
      <w:r w:rsidRPr="005C1827">
        <w:rPr>
          <w:highlight w:val="yellow"/>
        </w:rPr>
        <w:t>Χ</w:t>
      </w:r>
      <w:r w:rsidRPr="005C1827">
        <w:t>%</w:t>
      </w:r>
    </w:p>
    <w:p w14:paraId="76433F04" w14:textId="4E1D94D6" w:rsidR="000807FE" w:rsidRPr="005C1827" w:rsidRDefault="000807FE" w:rsidP="00F23E9E">
      <w:pPr>
        <w:pStyle w:val="a8"/>
        <w:numPr>
          <w:ilvl w:val="0"/>
          <w:numId w:val="48"/>
        </w:numPr>
      </w:pPr>
      <w:r w:rsidRPr="005C1827">
        <w:t xml:space="preserve">Η </w:t>
      </w:r>
      <w:r w:rsidR="00C16FDB" w:rsidRPr="005C1827">
        <w:t>διάρκεια</w:t>
      </w:r>
      <w:r w:rsidRPr="005C1827">
        <w:t xml:space="preserve"> του δανείου του ΤΑΑ δύ</w:t>
      </w:r>
      <w:r w:rsidR="003A2517" w:rsidRPr="005C1827">
        <w:t>ναται να κυμαίνεται από 8</w:t>
      </w:r>
      <w:r w:rsidRPr="005C1827">
        <w:t xml:space="preserve"> έως 12 </w:t>
      </w:r>
      <w:r w:rsidR="00C16FDB" w:rsidRPr="005C1827">
        <w:t xml:space="preserve">έτη. Παρέχεται η </w:t>
      </w:r>
      <w:r w:rsidR="003F550B" w:rsidRPr="005C1827">
        <w:t xml:space="preserve">δυνατότητα </w:t>
      </w:r>
      <w:r w:rsidRPr="005C1827">
        <w:t>ελάχιστη</w:t>
      </w:r>
      <w:r w:rsidR="00887F50" w:rsidRPr="005C1827">
        <w:t>ς</w:t>
      </w:r>
      <w:r w:rsidRPr="005C1827">
        <w:t xml:space="preserve"> διάρκεια</w:t>
      </w:r>
      <w:r w:rsidR="003A2517" w:rsidRPr="005C1827">
        <w:t>ς</w:t>
      </w:r>
      <w:r w:rsidRPr="005C1827">
        <w:t xml:space="preserve"> 3 ετών και μέγιστη</w:t>
      </w:r>
      <w:r w:rsidR="00887F50" w:rsidRPr="005C1827">
        <w:t>ς</w:t>
      </w:r>
      <w:r w:rsidRPr="005C1827">
        <w:t xml:space="preserve"> διάρκεια</w:t>
      </w:r>
      <w:r w:rsidR="00F564C6" w:rsidRPr="005C1827">
        <w:t>ς</w:t>
      </w:r>
      <w:r w:rsidRPr="005C1827">
        <w:t xml:space="preserve"> 15 ετών </w:t>
      </w:r>
      <w:r w:rsidR="00C16FDB" w:rsidRPr="005C1827">
        <w:t>ανάλογα με τη φύση της επένδυσης και κατά την κρίση του τραπεζικού ιδρύματος</w:t>
      </w:r>
      <w:r w:rsidRPr="005C1827">
        <w:t>.</w:t>
      </w:r>
    </w:p>
    <w:p w14:paraId="4DB91594" w14:textId="73CF52E9" w:rsidR="00087876" w:rsidRPr="005C1827" w:rsidRDefault="00087876" w:rsidP="00087876">
      <w:r w:rsidRPr="005C1827">
        <w:lastRenderedPageBreak/>
        <w:t xml:space="preserve">Τα συμπεράσματα των παραπάνω αξιολογήσεων και οι υπολογισμοί περιλαμβάνονται στην έκθεση αξιολόγησης του </w:t>
      </w:r>
      <w:r w:rsidR="001D2A99" w:rsidRPr="005C1827">
        <w:t>πιστοποιημένο ανεξάρτητο ελεγκτή</w:t>
      </w:r>
      <w:r w:rsidRPr="005C1827">
        <w:t xml:space="preserve">. Στην έκθεση αξιολόγησης περιλαμβάνονται: </w:t>
      </w:r>
    </w:p>
    <w:p w14:paraId="507DB831" w14:textId="5AFCA3B9" w:rsidR="00087876" w:rsidRPr="005C1827" w:rsidRDefault="00087876" w:rsidP="00F23E9E">
      <w:pPr>
        <w:pStyle w:val="a8"/>
        <w:numPr>
          <w:ilvl w:val="0"/>
          <w:numId w:val="34"/>
        </w:numPr>
      </w:pPr>
      <w:r w:rsidRPr="005C1827">
        <w:t>Κατάλογος των επιλέξιμων δαπανών του ΕΣ, το ύψος του δανείου του ΤΑΑ και το ποσοστό του δανείου του ΤΑΑ επί του επιλέξιμου προϋπολογισμού του ΕΣ.</w:t>
      </w:r>
    </w:p>
    <w:p w14:paraId="0210048C" w14:textId="77777777" w:rsidR="00087876" w:rsidRPr="005C1827" w:rsidRDefault="00087876" w:rsidP="00F23E9E">
      <w:pPr>
        <w:pStyle w:val="a8"/>
        <w:numPr>
          <w:ilvl w:val="0"/>
          <w:numId w:val="34"/>
        </w:numPr>
      </w:pPr>
      <w:r w:rsidRPr="005C1827">
        <w:t>Το επιτόκιο του δανείου του ΤΑΑ.</w:t>
      </w:r>
    </w:p>
    <w:p w14:paraId="7B5B0174" w14:textId="77777777" w:rsidR="00F65DE3" w:rsidRPr="005C1827" w:rsidRDefault="00F65DE3" w:rsidP="00F23E9E">
      <w:pPr>
        <w:pStyle w:val="a8"/>
        <w:numPr>
          <w:ilvl w:val="0"/>
          <w:numId w:val="34"/>
        </w:numPr>
      </w:pPr>
      <w:r w:rsidRPr="005C1827">
        <w:t xml:space="preserve">Εφόσον υφίσταται κρατική ενίσχυση, </w:t>
      </w:r>
    </w:p>
    <w:p w14:paraId="6D53CA48" w14:textId="77777777" w:rsidR="00F65DE3" w:rsidRPr="005C1827" w:rsidRDefault="00F65DE3" w:rsidP="00F23E9E">
      <w:pPr>
        <w:pStyle w:val="a8"/>
        <w:numPr>
          <w:ilvl w:val="1"/>
          <w:numId w:val="34"/>
        </w:numPr>
      </w:pPr>
      <w:r w:rsidRPr="005C1827">
        <w:t>Η ονομασία της επιχείρησης</w:t>
      </w:r>
    </w:p>
    <w:p w14:paraId="428411D6" w14:textId="77777777" w:rsidR="00F65DE3" w:rsidRPr="005C1827" w:rsidRDefault="00F65DE3" w:rsidP="00F23E9E">
      <w:pPr>
        <w:pStyle w:val="a8"/>
        <w:numPr>
          <w:ilvl w:val="1"/>
          <w:numId w:val="34"/>
        </w:numPr>
      </w:pPr>
      <w:r w:rsidRPr="005C1827">
        <w:t>Το μέγεθος της επιχείρησης</w:t>
      </w:r>
    </w:p>
    <w:p w14:paraId="5FAD04F3" w14:textId="77777777" w:rsidR="00F65DE3" w:rsidRPr="005C1827" w:rsidRDefault="00F65DE3" w:rsidP="00F23E9E">
      <w:pPr>
        <w:pStyle w:val="a8"/>
        <w:numPr>
          <w:ilvl w:val="1"/>
          <w:numId w:val="34"/>
        </w:numPr>
      </w:pPr>
      <w:r w:rsidRPr="005C1827">
        <w:t>Περίληψη του έργου, συμπεριλαμβανομένων των ημερομηνιών έναρξης και λήξης.</w:t>
      </w:r>
    </w:p>
    <w:p w14:paraId="0BA3BFB0" w14:textId="77777777" w:rsidR="00F65DE3" w:rsidRPr="005C1827" w:rsidRDefault="00F65DE3" w:rsidP="00F23E9E">
      <w:pPr>
        <w:pStyle w:val="a8"/>
        <w:numPr>
          <w:ilvl w:val="1"/>
          <w:numId w:val="34"/>
        </w:numPr>
      </w:pPr>
      <w:r w:rsidRPr="005C1827">
        <w:t>Ο τόπος υλοποίησης του επενδυτικού σχεδίου.</w:t>
      </w:r>
    </w:p>
    <w:p w14:paraId="23FD7B83" w14:textId="77777777" w:rsidR="00F65DE3" w:rsidRPr="005C1827" w:rsidRDefault="00F65DE3" w:rsidP="00F23E9E">
      <w:pPr>
        <w:pStyle w:val="a8"/>
        <w:numPr>
          <w:ilvl w:val="1"/>
          <w:numId w:val="34"/>
        </w:numPr>
      </w:pPr>
      <w:r w:rsidRPr="005C1827">
        <w:t>Ο κατάλογος των δαπανών του επενδυτικού σχεδίου.</w:t>
      </w:r>
    </w:p>
    <w:p w14:paraId="4E780963" w14:textId="77777777" w:rsidR="00F65DE3" w:rsidRPr="005C1827" w:rsidRDefault="00F65DE3" w:rsidP="00F23E9E">
      <w:pPr>
        <w:pStyle w:val="a8"/>
        <w:numPr>
          <w:ilvl w:val="1"/>
          <w:numId w:val="34"/>
        </w:numPr>
      </w:pPr>
      <w:r w:rsidRPr="005C1827">
        <w:t>Ο κατάλογος των ενισχυόμενων δαπανών, το ύψος του δανείου, το επιτόκιο του δανείου, η διάρκεια του δανείου, το ύψος της κρατικής ενίσχυσης, καθώς και το πλαίσιο κρατικών ενισχύσεων που τη διέπει (De Minimis ή ΓΑΚ).</w:t>
      </w:r>
    </w:p>
    <w:p w14:paraId="66321213" w14:textId="2B9393F4" w:rsidR="00087876" w:rsidRPr="005C1827" w:rsidRDefault="00F65DE3" w:rsidP="00F23E9E">
      <w:pPr>
        <w:pStyle w:val="a8"/>
        <w:numPr>
          <w:ilvl w:val="0"/>
          <w:numId w:val="34"/>
        </w:numPr>
      </w:pPr>
      <w:r w:rsidRPr="005C1827">
        <w:t xml:space="preserve"> </w:t>
      </w:r>
      <w:r w:rsidR="00087876" w:rsidRPr="005C1827">
        <w:t xml:space="preserve">Η συνεισφορά του </w:t>
      </w:r>
      <w:r w:rsidR="00F61C6F" w:rsidRPr="005C1827">
        <w:t xml:space="preserve">επενδυτικού σχεδίου </w:t>
      </w:r>
      <w:r w:rsidR="00087876" w:rsidRPr="005C1827">
        <w:t>στους στόχους του ΕΣΑΑ (green tagging, digital tagging).</w:t>
      </w:r>
    </w:p>
    <w:p w14:paraId="0B832496" w14:textId="5B54E8BB" w:rsidR="00AB0B21" w:rsidRPr="005C1827" w:rsidRDefault="00AB0B21" w:rsidP="005C1827">
      <w:pPr>
        <w:spacing w:after="160" w:line="259" w:lineRule="auto"/>
      </w:pPr>
    </w:p>
    <w:sectPr w:rsidR="00AB0B21" w:rsidRPr="005C1827" w:rsidSect="00687416">
      <w:headerReference w:type="even" r:id="rId20"/>
      <w:headerReference w:type="default" r:id="rId21"/>
      <w:footerReference w:type="even" r:id="rId22"/>
      <w:footerReference w:type="default" r:id="rId23"/>
      <w:headerReference w:type="first" r:id="rId24"/>
      <w:footerReference w:type="first" r:id="rId25"/>
      <w:pgSz w:w="11906" w:h="16838" w:code="9"/>
      <w:pgMar w:top="993" w:right="1440" w:bottom="1134" w:left="1440" w:header="720" w:footer="61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B4AA9" w14:textId="77777777" w:rsidR="00653C5D" w:rsidRDefault="00653C5D" w:rsidP="004A137E">
      <w:pPr>
        <w:spacing w:before="0" w:line="240" w:lineRule="auto"/>
      </w:pPr>
      <w:r>
        <w:separator/>
      </w:r>
    </w:p>
  </w:endnote>
  <w:endnote w:type="continuationSeparator" w:id="0">
    <w:p w14:paraId="281DBAB6" w14:textId="77777777" w:rsidR="00653C5D" w:rsidRDefault="00653C5D" w:rsidP="004A137E">
      <w:pPr>
        <w:spacing w:before="0" w:line="240" w:lineRule="auto"/>
      </w:pPr>
      <w:r>
        <w:continuationSeparator/>
      </w:r>
    </w:p>
  </w:endnote>
  <w:endnote w:type="continuationNotice" w:id="1">
    <w:p w14:paraId="226733F1" w14:textId="77777777" w:rsidR="00653C5D" w:rsidRDefault="00653C5D">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BDBDC" w14:textId="77777777" w:rsidR="00875EF2" w:rsidRDefault="00875EF2">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2438705"/>
      <w:docPartObj>
        <w:docPartGallery w:val="Page Numbers (Bottom of Page)"/>
        <w:docPartUnique/>
      </w:docPartObj>
    </w:sdtPr>
    <w:sdtEndPr>
      <w:rPr>
        <w:noProof/>
      </w:rPr>
    </w:sdtEndPr>
    <w:sdtContent>
      <w:p w14:paraId="10207A4E" w14:textId="580B0DA5" w:rsidR="00875EF2" w:rsidRDefault="00875EF2" w:rsidP="00EE3F56">
        <w:pPr>
          <w:pStyle w:val="af"/>
          <w:jc w:val="center"/>
        </w:pPr>
        <w:r>
          <w:fldChar w:fldCharType="begin"/>
        </w:r>
        <w:r>
          <w:instrText xml:space="preserve"> PAGE   \* MERGEFORMAT </w:instrText>
        </w:r>
        <w:r>
          <w:fldChar w:fldCharType="separate"/>
        </w:r>
        <w:r w:rsidR="005C1827">
          <w:rPr>
            <w:noProof/>
          </w:rPr>
          <w:t>8</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BDFD5" w14:textId="77777777" w:rsidR="00875EF2" w:rsidRDefault="00875EF2">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75670" w14:textId="77777777" w:rsidR="00653C5D" w:rsidRDefault="00653C5D" w:rsidP="004A137E">
      <w:pPr>
        <w:spacing w:before="0" w:line="240" w:lineRule="auto"/>
      </w:pPr>
      <w:r>
        <w:separator/>
      </w:r>
    </w:p>
  </w:footnote>
  <w:footnote w:type="continuationSeparator" w:id="0">
    <w:p w14:paraId="356D2670" w14:textId="77777777" w:rsidR="00653C5D" w:rsidRDefault="00653C5D" w:rsidP="004A137E">
      <w:pPr>
        <w:spacing w:before="0" w:line="240" w:lineRule="auto"/>
      </w:pPr>
      <w:r>
        <w:continuationSeparator/>
      </w:r>
    </w:p>
  </w:footnote>
  <w:footnote w:type="continuationNotice" w:id="1">
    <w:p w14:paraId="3B2ACE4E" w14:textId="77777777" w:rsidR="00653C5D" w:rsidRDefault="00653C5D">
      <w:pPr>
        <w:spacing w:before="0" w:line="240" w:lineRule="auto"/>
      </w:pPr>
    </w:p>
  </w:footnote>
  <w:footnote w:id="2">
    <w:p w14:paraId="6ACD7AC8" w14:textId="2FEB77FD" w:rsidR="00875EF2" w:rsidRDefault="00875EF2">
      <w:pPr>
        <w:pStyle w:val="a4"/>
      </w:pPr>
      <w:r>
        <w:rPr>
          <w:rStyle w:val="a5"/>
        </w:rPr>
        <w:footnoteRef/>
      </w:r>
      <w:r>
        <w:t xml:space="preserve"> Κανονισμός 2021/523: Παράρτημα </w:t>
      </w:r>
      <w:r>
        <w:rPr>
          <w:lang w:val="en-US"/>
        </w:rPr>
        <w:t>V</w:t>
      </w:r>
      <w:r w:rsidRPr="003E7815">
        <w:t xml:space="preserve"> (</w:t>
      </w:r>
      <w:r>
        <w:t>B. Αποκλειόμενες δραστηριότητες</w:t>
      </w:r>
      <w:r w:rsidRPr="003E7815">
        <w:t>)</w:t>
      </w:r>
      <w:r w:rsidRPr="00CE2491">
        <w:t xml:space="preserve">: </w:t>
      </w:r>
      <w:hyperlink r:id="rId1" w:history="1">
        <w:r>
          <w:rPr>
            <w:rStyle w:val="-"/>
          </w:rPr>
          <w:t>https://eur-lex.europa.eu/legal-content/EL/TXT/PDF/?uri=CELEX:32021R0523&amp;from=EL</w:t>
        </w:r>
      </w:hyperlink>
      <w:r w:rsidRPr="003E7815">
        <w:t xml:space="preserve"> </w:t>
      </w:r>
    </w:p>
  </w:footnote>
  <w:footnote w:id="3">
    <w:p w14:paraId="713A7D44" w14:textId="641101D3" w:rsidR="00875EF2" w:rsidRDefault="00875EF2">
      <w:pPr>
        <w:pStyle w:val="a4"/>
      </w:pPr>
      <w:r>
        <w:rPr>
          <w:rStyle w:val="a5"/>
        </w:rPr>
        <w:footnoteRef/>
      </w:r>
      <w:r>
        <w:t xml:space="preserve"> Γενικός Απαλλακτικός Κανονισμός: </w:t>
      </w:r>
      <w:hyperlink r:id="rId2" w:history="1">
        <w:r w:rsidRPr="004F69DA">
          <w:rPr>
            <w:rStyle w:val="-"/>
          </w:rPr>
          <w:t>https://eur-lex.europa.eu/legal-content/EL/TXT/PDF/?uri=CELEX:32014R0651&amp;from=EL</w:t>
        </w:r>
      </w:hyperlink>
      <w:r>
        <w:t xml:space="preserve"> </w:t>
      </w:r>
    </w:p>
  </w:footnote>
  <w:footnote w:id="4">
    <w:p w14:paraId="232B74EB" w14:textId="18559B7F" w:rsidR="00875EF2" w:rsidRPr="00FC4620" w:rsidRDefault="00875EF2">
      <w:pPr>
        <w:pStyle w:val="a4"/>
      </w:pPr>
      <w:r>
        <w:rPr>
          <w:rStyle w:val="a5"/>
        </w:rPr>
        <w:footnoteRef/>
      </w:r>
      <w:r>
        <w:t xml:space="preserve"> </w:t>
      </w:r>
      <w:r w:rsidRPr="008E621B">
        <w:t>Ανακοίνωση της Επιτροπής σχετικά με τεχνική καθοδήγηση όσον αφορά τον έλεγχο βιωσιμότητας για το ταμείο InvestEU</w:t>
      </w:r>
      <w:r>
        <w:t xml:space="preserve"> - </w:t>
      </w:r>
      <w:r>
        <w:rPr>
          <w:rStyle w:val="-"/>
        </w:rPr>
        <w:t xml:space="preserve"> </w:t>
      </w:r>
      <w:hyperlink r:id="rId3" w:history="1">
        <w:r w:rsidRPr="00B41FA4">
          <w:rPr>
            <w:rStyle w:val="-"/>
          </w:rPr>
          <w:t>https://eur-lex.europa.eu/legal-content/EL/TXT/PDF/?uri=CELEX:52021XC0713(02)&amp;from=EN)</w:t>
        </w:r>
      </w:hyperlink>
    </w:p>
  </w:footnote>
  <w:footnote w:id="5">
    <w:p w14:paraId="3E28F2AB" w14:textId="77777777" w:rsidR="00875EF2" w:rsidRPr="00D609B5" w:rsidRDefault="00875EF2" w:rsidP="00D94619">
      <w:pPr>
        <w:pStyle w:val="a4"/>
      </w:pPr>
      <w:r>
        <w:rPr>
          <w:rStyle w:val="a5"/>
        </w:rPr>
        <w:footnoteRef/>
      </w:r>
      <w:r w:rsidRPr="00D609B5">
        <w:t xml:space="preserve"> </w:t>
      </w:r>
      <w:hyperlink r:id="rId4" w:history="1">
        <w:r w:rsidRPr="00365B03">
          <w:rPr>
            <w:rStyle w:val="-"/>
          </w:rPr>
          <w:t>https</w:t>
        </w:r>
        <w:r w:rsidRPr="00D609B5">
          <w:rPr>
            <w:rStyle w:val="-"/>
          </w:rPr>
          <w:t>://</w:t>
        </w:r>
        <w:r w:rsidRPr="00365B03">
          <w:rPr>
            <w:rStyle w:val="-"/>
          </w:rPr>
          <w:t>eur</w:t>
        </w:r>
        <w:r w:rsidRPr="00D609B5">
          <w:rPr>
            <w:rStyle w:val="-"/>
          </w:rPr>
          <w:t>-</w:t>
        </w:r>
        <w:r w:rsidRPr="00365B03">
          <w:rPr>
            <w:rStyle w:val="-"/>
          </w:rPr>
          <w:t>lex</w:t>
        </w:r>
        <w:r w:rsidRPr="00D609B5">
          <w:rPr>
            <w:rStyle w:val="-"/>
          </w:rPr>
          <w:t>.</w:t>
        </w:r>
        <w:r w:rsidRPr="00365B03">
          <w:rPr>
            <w:rStyle w:val="-"/>
          </w:rPr>
          <w:t>europa</w:t>
        </w:r>
        <w:r w:rsidRPr="00D609B5">
          <w:rPr>
            <w:rStyle w:val="-"/>
          </w:rPr>
          <w:t>.</w:t>
        </w:r>
        <w:r w:rsidRPr="00365B03">
          <w:rPr>
            <w:rStyle w:val="-"/>
          </w:rPr>
          <w:t>eu</w:t>
        </w:r>
        <w:r w:rsidRPr="00D609B5">
          <w:rPr>
            <w:rStyle w:val="-"/>
          </w:rPr>
          <w:t>/</w:t>
        </w:r>
        <w:r w:rsidRPr="00365B03">
          <w:rPr>
            <w:rStyle w:val="-"/>
          </w:rPr>
          <w:t>legal</w:t>
        </w:r>
        <w:r w:rsidRPr="00D609B5">
          <w:rPr>
            <w:rStyle w:val="-"/>
          </w:rPr>
          <w:t>-</w:t>
        </w:r>
        <w:r w:rsidRPr="00365B03">
          <w:rPr>
            <w:rStyle w:val="-"/>
          </w:rPr>
          <w:t>content</w:t>
        </w:r>
        <w:r w:rsidRPr="00D609B5">
          <w:rPr>
            <w:rStyle w:val="-"/>
          </w:rPr>
          <w:t>/</w:t>
        </w:r>
        <w:r w:rsidRPr="00365B03">
          <w:rPr>
            <w:rStyle w:val="-"/>
          </w:rPr>
          <w:t>EL</w:t>
        </w:r>
        <w:r w:rsidRPr="00D609B5">
          <w:rPr>
            <w:rStyle w:val="-"/>
          </w:rPr>
          <w:t>/</w:t>
        </w:r>
        <w:r w:rsidRPr="00365B03">
          <w:rPr>
            <w:rStyle w:val="-"/>
          </w:rPr>
          <w:t>TXT</w:t>
        </w:r>
        <w:r w:rsidRPr="00D609B5">
          <w:rPr>
            <w:rStyle w:val="-"/>
          </w:rPr>
          <w:t>/</w:t>
        </w:r>
        <w:r w:rsidRPr="00365B03">
          <w:rPr>
            <w:rStyle w:val="-"/>
          </w:rPr>
          <w:t>PDF</w:t>
        </w:r>
        <w:r w:rsidRPr="00D609B5">
          <w:rPr>
            <w:rStyle w:val="-"/>
          </w:rPr>
          <w:t>/?</w:t>
        </w:r>
        <w:r w:rsidRPr="00365B03">
          <w:rPr>
            <w:rStyle w:val="-"/>
          </w:rPr>
          <w:t>uri</w:t>
        </w:r>
        <w:r w:rsidRPr="00D609B5">
          <w:rPr>
            <w:rStyle w:val="-"/>
          </w:rPr>
          <w:t>=</w:t>
        </w:r>
        <w:r w:rsidRPr="00365B03">
          <w:rPr>
            <w:rStyle w:val="-"/>
          </w:rPr>
          <w:t>CELEX</w:t>
        </w:r>
        <w:r w:rsidRPr="00D609B5">
          <w:rPr>
            <w:rStyle w:val="-"/>
          </w:rPr>
          <w:t>:32021</w:t>
        </w:r>
        <w:r w:rsidRPr="00365B03">
          <w:rPr>
            <w:rStyle w:val="-"/>
          </w:rPr>
          <w:t>R</w:t>
        </w:r>
        <w:r w:rsidRPr="00D609B5">
          <w:rPr>
            <w:rStyle w:val="-"/>
          </w:rPr>
          <w:t>0241&amp;</w:t>
        </w:r>
        <w:r w:rsidRPr="00365B03">
          <w:rPr>
            <w:rStyle w:val="-"/>
          </w:rPr>
          <w:t>from</w:t>
        </w:r>
        <w:r w:rsidRPr="00D609B5">
          <w:rPr>
            <w:rStyle w:val="-"/>
          </w:rPr>
          <w:t>=</w:t>
        </w:r>
        <w:r w:rsidRPr="00365B03">
          <w:rPr>
            <w:rStyle w:val="-"/>
          </w:rPr>
          <w:t>EN</w:t>
        </w:r>
      </w:hyperlink>
      <w:r w:rsidRPr="00D609B5">
        <w:t xml:space="preserve"> </w:t>
      </w:r>
    </w:p>
  </w:footnote>
  <w:footnote w:id="6">
    <w:p w14:paraId="4B71C4DD" w14:textId="77777777" w:rsidR="00875EF2" w:rsidRPr="00793C97" w:rsidRDefault="00875EF2" w:rsidP="00D94619">
      <w:pPr>
        <w:pStyle w:val="a4"/>
      </w:pPr>
      <w:r>
        <w:rPr>
          <w:rStyle w:val="a5"/>
        </w:rPr>
        <w:footnoteRef/>
      </w:r>
      <w:r w:rsidRPr="00793C97">
        <w:t xml:space="preserve"> </w:t>
      </w:r>
      <w:hyperlink r:id="rId5" w:history="1">
        <w:r w:rsidRPr="00F6556C">
          <w:rPr>
            <w:rStyle w:val="-"/>
          </w:rPr>
          <w:t>https://eur-lex.europa.eu/legal-content/EL/TXT/PDF/?uri=CELEX:32021R0241&amp;from=EN</w:t>
        </w:r>
      </w:hyperlink>
      <w:r>
        <w:t xml:space="preserve"> </w:t>
      </w:r>
    </w:p>
  </w:footnote>
  <w:footnote w:id="7">
    <w:p w14:paraId="5F5BFE0A" w14:textId="1526D6C3" w:rsidR="00875EF2" w:rsidRPr="00B225C4" w:rsidRDefault="00875EF2" w:rsidP="00C86EBB">
      <w:pPr>
        <w:pStyle w:val="a4"/>
      </w:pPr>
      <w:r>
        <w:rPr>
          <w:rStyle w:val="a5"/>
        </w:rPr>
        <w:footnoteRef/>
      </w:r>
      <w:r w:rsidRPr="00B225C4">
        <w:t xml:space="preserve"> </w:t>
      </w:r>
      <w:r>
        <w:t xml:space="preserve">Το τρέχον επιτόκιο βάσης της Ελλάδας την 1/9/2021 έχει καθοριστεί σε -0,45% - </w:t>
      </w:r>
      <w:hyperlink r:id="rId6" w:history="1">
        <w:r w:rsidRPr="00B225C4">
          <w:rPr>
            <w:rStyle w:val="-"/>
          </w:rPr>
          <w:t>https://ec.europa.eu/competition-policy/state-aid/legislation/reference-discount-rates-and-recovery-interest-rates/reference-and-discount_en</w:t>
        </w:r>
      </w:hyperlink>
      <w:r w:rsidRPr="00B225C4">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D3BA9" w14:textId="77777777" w:rsidR="00875EF2" w:rsidRDefault="00875EF2">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008756"/>
      <w:docPartObj>
        <w:docPartGallery w:val="Watermarks"/>
        <w:docPartUnique/>
      </w:docPartObj>
    </w:sdtPr>
    <w:sdtEndPr/>
    <w:sdtContent>
      <w:p w14:paraId="76E9BCA7" w14:textId="77777777" w:rsidR="00875EF2" w:rsidRDefault="00653C5D">
        <w:pPr>
          <w:pStyle w:val="ae"/>
        </w:pPr>
        <w:r>
          <w:rPr>
            <w:noProof/>
          </w:rPr>
          <w:pict w14:anchorId="3A021B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5204236" o:spid="_x0000_s2049" type="#_x0000_t136" style="position:absolute;margin-left:0;margin-top:0;width:489.45pt;height:146.8pt;rotation:315;z-index:-251658752;mso-position-horizontal:center;mso-position-horizontal-relative:margin;mso-position-vertical:center;mso-position-vertical-relative:margin" o:allowincell="f" fillcolor="silver" stroked="f">
              <v:fill opacity=".5"/>
              <v:textpath style="font-family:&quot;Calibri&quot;;font-size:1pt" string="FINAL 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C382B" w14:textId="77777777" w:rsidR="00875EF2" w:rsidRDefault="00875EF2">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5E1B"/>
    <w:multiLevelType w:val="multilevel"/>
    <w:tmpl w:val="62D6130C"/>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3F52C8"/>
    <w:multiLevelType w:val="hybridMultilevel"/>
    <w:tmpl w:val="09DEF1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36B4617"/>
    <w:multiLevelType w:val="multilevel"/>
    <w:tmpl w:val="37D44E8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7A61680"/>
    <w:multiLevelType w:val="hybridMultilevel"/>
    <w:tmpl w:val="C2BA0F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7DF1FD5"/>
    <w:multiLevelType w:val="hybridMultilevel"/>
    <w:tmpl w:val="878C922E"/>
    <w:lvl w:ilvl="0" w:tplc="04090001">
      <w:start w:val="1"/>
      <w:numFmt w:val="bullet"/>
      <w:lvlText w:val=""/>
      <w:lvlJc w:val="left"/>
      <w:pPr>
        <w:ind w:left="502" w:hanging="360"/>
      </w:pPr>
      <w:rPr>
        <w:rFonts w:ascii="Symbol" w:hAnsi="Symbol" w:hint="default"/>
      </w:rPr>
    </w:lvl>
    <w:lvl w:ilvl="1" w:tplc="D65C3182">
      <w:numFmt w:val="bullet"/>
      <w:lvlText w:val="•"/>
      <w:lvlJc w:val="left"/>
      <w:pPr>
        <w:ind w:left="1582" w:hanging="720"/>
      </w:pPr>
      <w:rPr>
        <w:rFonts w:ascii="Calibri" w:eastAsiaTheme="minorHAnsi" w:hAnsi="Calibri" w:cs="Calibri" w:hint="default"/>
      </w:r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15:restartNumberingAfterBreak="0">
    <w:nsid w:val="0C844557"/>
    <w:multiLevelType w:val="multilevel"/>
    <w:tmpl w:val="37D44E8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CD909EA"/>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7" w15:restartNumberingAfterBreak="0">
    <w:nsid w:val="0F427D87"/>
    <w:multiLevelType w:val="hybridMultilevel"/>
    <w:tmpl w:val="CD583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B53C95"/>
    <w:multiLevelType w:val="hybridMultilevel"/>
    <w:tmpl w:val="27C63EF8"/>
    <w:lvl w:ilvl="0" w:tplc="04090001">
      <w:start w:val="1"/>
      <w:numFmt w:val="bullet"/>
      <w:lvlText w:val=""/>
      <w:lvlJc w:val="left"/>
      <w:pPr>
        <w:ind w:left="720" w:hanging="360"/>
      </w:pPr>
      <w:rPr>
        <w:rFonts w:ascii="Symbol" w:hAnsi="Symbol" w:hint="default"/>
      </w:rPr>
    </w:lvl>
    <w:lvl w:ilvl="1" w:tplc="FFBEE020">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0871B7"/>
    <w:multiLevelType w:val="multilevel"/>
    <w:tmpl w:val="37D44E8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2A21363"/>
    <w:multiLevelType w:val="multilevel"/>
    <w:tmpl w:val="C95695D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3597F2C"/>
    <w:multiLevelType w:val="hybridMultilevel"/>
    <w:tmpl w:val="64628F7A"/>
    <w:lvl w:ilvl="0" w:tplc="0409000F">
      <w:start w:val="1"/>
      <w:numFmt w:val="decimal"/>
      <w:lvlText w:val="%1."/>
      <w:lvlJc w:val="left"/>
      <w:pPr>
        <w:ind w:left="360" w:hanging="360"/>
      </w:pPr>
      <w:rPr>
        <w:rFonts w:hint="default"/>
        <w:b w:val="0"/>
      </w:rPr>
    </w:lvl>
    <w:lvl w:ilvl="1" w:tplc="99341048">
      <w:start w:val="1"/>
      <mc:AlternateContent>
        <mc:Choice Requires="w14">
          <w:numFmt w:val="custom" w:format="α, β, γ, ..."/>
        </mc:Choice>
        <mc:Fallback>
          <w:numFmt w:val="decimal"/>
        </mc:Fallback>
      </mc:AlternateContent>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47750FB"/>
    <w:multiLevelType w:val="multilevel"/>
    <w:tmpl w:val="37D44E8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4C63673"/>
    <w:multiLevelType w:val="hybridMultilevel"/>
    <w:tmpl w:val="0F22E9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56D3747"/>
    <w:multiLevelType w:val="hybridMultilevel"/>
    <w:tmpl w:val="B6A8DE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74E4122"/>
    <w:multiLevelType w:val="hybridMultilevel"/>
    <w:tmpl w:val="D416FE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B176FB6"/>
    <w:multiLevelType w:val="hybridMultilevel"/>
    <w:tmpl w:val="B5F63D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6E494C"/>
    <w:multiLevelType w:val="hybridMultilevel"/>
    <w:tmpl w:val="33C45D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1475476"/>
    <w:multiLevelType w:val="multilevel"/>
    <w:tmpl w:val="78CCBEFA"/>
    <w:lvl w:ilvl="0">
      <w:start w:val="1"/>
      <w:numFmt w:val="lowerRoman"/>
      <w:lvlText w:val="%1."/>
      <w:lvlJc w:val="right"/>
      <w:pPr>
        <w:tabs>
          <w:tab w:val="num" w:pos="1080"/>
        </w:tabs>
        <w:ind w:left="1080" w:hanging="360"/>
      </w:pPr>
      <w:rPr>
        <w:rFonts w:hint="default"/>
      </w:rPr>
    </w:lvl>
    <w:lvl w:ilvl="1">
      <w:start w:val="1"/>
      <w:numFmt w:val="lowerRoman"/>
      <w:lvlText w:val="%2."/>
      <w:lvlJc w:val="left"/>
      <w:pPr>
        <w:ind w:left="2160" w:hanging="720"/>
      </w:pPr>
      <w:rPr>
        <w:rFonts w:hint="default"/>
      </w:rPr>
    </w:lvl>
    <w:lvl w:ilvl="2">
      <w:numFmt w:val="bullet"/>
      <w:lvlText w:val="-"/>
      <w:lvlJc w:val="left"/>
      <w:pPr>
        <w:ind w:left="2520" w:hanging="360"/>
      </w:pPr>
      <w:rPr>
        <w:rFonts w:ascii="Calibri" w:eastAsiaTheme="minorHAnsi" w:hAnsi="Calibri" w:cstheme="minorBidi" w:hint="default"/>
        <w:b w:val="0"/>
      </w:rPr>
    </w:lvl>
    <w:lvl w:ilvl="3">
      <w:start w:val="1"/>
      <w:numFmt w:val="decimal"/>
      <w:lvlText w:val="%4."/>
      <w:lvlJc w:val="left"/>
      <w:pPr>
        <w:ind w:left="3240" w:hanging="360"/>
      </w:pPr>
      <w:rPr>
        <w:rFonts w:hint="default"/>
      </w:rPr>
    </w:lvl>
    <w:lvl w:ilvl="4" w:tentative="1">
      <w:start w:val="1"/>
      <w:numFmt w:val="lowerRoman"/>
      <w:lvlText w:val="%5."/>
      <w:lvlJc w:val="right"/>
      <w:pPr>
        <w:tabs>
          <w:tab w:val="num" w:pos="3960"/>
        </w:tabs>
        <w:ind w:left="3960" w:hanging="360"/>
      </w:pPr>
    </w:lvl>
    <w:lvl w:ilvl="5" w:tentative="1">
      <w:start w:val="1"/>
      <w:numFmt w:val="lowerRoman"/>
      <w:lvlText w:val="%6."/>
      <w:lvlJc w:val="right"/>
      <w:pPr>
        <w:tabs>
          <w:tab w:val="num" w:pos="4680"/>
        </w:tabs>
        <w:ind w:left="4680" w:hanging="360"/>
      </w:pPr>
    </w:lvl>
    <w:lvl w:ilvl="6" w:tentative="1">
      <w:start w:val="1"/>
      <w:numFmt w:val="lowerRoman"/>
      <w:lvlText w:val="%7."/>
      <w:lvlJc w:val="right"/>
      <w:pPr>
        <w:tabs>
          <w:tab w:val="num" w:pos="5400"/>
        </w:tabs>
        <w:ind w:left="5400" w:hanging="360"/>
      </w:pPr>
    </w:lvl>
    <w:lvl w:ilvl="7" w:tentative="1">
      <w:start w:val="1"/>
      <w:numFmt w:val="lowerRoman"/>
      <w:lvlText w:val="%8."/>
      <w:lvlJc w:val="right"/>
      <w:pPr>
        <w:tabs>
          <w:tab w:val="num" w:pos="6120"/>
        </w:tabs>
        <w:ind w:left="6120" w:hanging="360"/>
      </w:pPr>
    </w:lvl>
    <w:lvl w:ilvl="8" w:tentative="1">
      <w:start w:val="1"/>
      <w:numFmt w:val="lowerRoman"/>
      <w:lvlText w:val="%9."/>
      <w:lvlJc w:val="right"/>
      <w:pPr>
        <w:tabs>
          <w:tab w:val="num" w:pos="6840"/>
        </w:tabs>
        <w:ind w:left="6840" w:hanging="360"/>
      </w:pPr>
    </w:lvl>
  </w:abstractNum>
  <w:abstractNum w:abstractNumId="19" w15:restartNumberingAfterBreak="0">
    <w:nsid w:val="245173D5"/>
    <w:multiLevelType w:val="multilevel"/>
    <w:tmpl w:val="11E4DE9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4743E97"/>
    <w:multiLevelType w:val="multilevel"/>
    <w:tmpl w:val="37D44E8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24CE2BB5"/>
    <w:multiLevelType w:val="hybridMultilevel"/>
    <w:tmpl w:val="0AE8E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6D60CED"/>
    <w:multiLevelType w:val="hybridMultilevel"/>
    <w:tmpl w:val="FFC26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BB72D2"/>
    <w:multiLevelType w:val="multilevel"/>
    <w:tmpl w:val="62D6130C"/>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0515900"/>
    <w:multiLevelType w:val="hybridMultilevel"/>
    <w:tmpl w:val="31DE8812"/>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5" w15:restartNumberingAfterBreak="0">
    <w:nsid w:val="365F2C19"/>
    <w:multiLevelType w:val="multilevel"/>
    <w:tmpl w:val="3D16DD90"/>
    <w:lvl w:ilvl="0">
      <w:start w:val="1"/>
      <w:numFmt w:val="bullet"/>
      <w:lvlText w:val=""/>
      <w:lvlJc w:val="left"/>
      <w:pPr>
        <w:ind w:left="720" w:hanging="360"/>
      </w:pPr>
      <w:rPr>
        <w:rFonts w:ascii="Symbol" w:hAnsi="Symbol"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6" w15:restartNumberingAfterBreak="0">
    <w:nsid w:val="374A5ECC"/>
    <w:multiLevelType w:val="hybridMultilevel"/>
    <w:tmpl w:val="12129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7A9081F"/>
    <w:multiLevelType w:val="multilevel"/>
    <w:tmpl w:val="37D44E8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7E22985"/>
    <w:multiLevelType w:val="multilevel"/>
    <w:tmpl w:val="11E4DE9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38C3629A"/>
    <w:multiLevelType w:val="hybridMultilevel"/>
    <w:tmpl w:val="F94A2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B986518"/>
    <w:multiLevelType w:val="multilevel"/>
    <w:tmpl w:val="2D546DDE"/>
    <w:lvl w:ilvl="0">
      <w:start w:val="1"/>
      <mc:AlternateContent>
        <mc:Choice Requires="w14">
          <w:numFmt w:val="custom" w:format="α, β, γ, ..."/>
        </mc:Choice>
        <mc:Fallback>
          <w:numFmt w:val="decimal"/>
        </mc:Fallback>
      </mc:AlternateContent>
      <w:lvlText w:val="%1."/>
      <w:lvlJc w:val="left"/>
      <w:pPr>
        <w:tabs>
          <w:tab w:val="num" w:pos="360"/>
        </w:tabs>
        <w:ind w:left="360" w:hanging="360"/>
      </w:pPr>
      <w:rPr>
        <w:rFonts w:hint="default"/>
      </w:rPr>
    </w:lvl>
    <w:lvl w:ilvl="1">
      <w:start w:val="1"/>
      <w:numFmt w:val="lowerRoman"/>
      <w:lvlText w:val="%2."/>
      <w:lvlJc w:val="left"/>
      <w:pPr>
        <w:ind w:left="1440" w:hanging="720"/>
      </w:pPr>
      <w:rPr>
        <w:rFonts w:hint="default"/>
      </w:rPr>
    </w:lvl>
    <w:lvl w:ilvl="2">
      <w:numFmt w:val="bullet"/>
      <w:lvlText w:val="-"/>
      <w:lvlJc w:val="left"/>
      <w:pPr>
        <w:ind w:left="1800" w:hanging="360"/>
      </w:pPr>
      <w:rPr>
        <w:rFonts w:ascii="Calibri" w:eastAsiaTheme="minorHAnsi" w:hAnsi="Calibri" w:cstheme="minorBidi" w:hint="default"/>
        <w:b w:val="0"/>
      </w:rPr>
    </w:lvl>
    <w:lvl w:ilvl="3">
      <w:start w:val="1"/>
      <w:numFmt w:val="decimal"/>
      <w:lvlText w:val="%4."/>
      <w:lvlJc w:val="left"/>
      <w:pPr>
        <w:ind w:left="2520" w:hanging="360"/>
      </w:pPr>
      <w:rPr>
        <w:rFonts w:hint="default"/>
      </w:rPr>
    </w:lvl>
    <w:lvl w:ilvl="4">
      <w:start w:val="1"/>
      <w:numFmt w:val="lowerRoman"/>
      <w:lvlText w:val="%5."/>
      <w:lvlJc w:val="right"/>
      <w:pPr>
        <w:tabs>
          <w:tab w:val="num" w:pos="3240"/>
        </w:tabs>
        <w:ind w:left="3240" w:hanging="360"/>
      </w:pPr>
      <w:rPr>
        <w:rFonts w:hint="default"/>
      </w:rPr>
    </w:lvl>
    <w:lvl w:ilvl="5">
      <w:start w:val="1"/>
      <w:numFmt w:val="lowerRoman"/>
      <w:lvlText w:val="%6."/>
      <w:lvlJc w:val="right"/>
      <w:pPr>
        <w:tabs>
          <w:tab w:val="num" w:pos="3960"/>
        </w:tabs>
        <w:ind w:left="3960" w:hanging="360"/>
      </w:pPr>
      <w:rPr>
        <w:rFonts w:hint="default"/>
      </w:rPr>
    </w:lvl>
    <w:lvl w:ilvl="6">
      <w:start w:val="1"/>
      <w:numFmt w:val="lowerRoman"/>
      <w:lvlText w:val="%7."/>
      <w:lvlJc w:val="right"/>
      <w:pPr>
        <w:tabs>
          <w:tab w:val="num" w:pos="4680"/>
        </w:tabs>
        <w:ind w:left="4680" w:hanging="360"/>
      </w:pPr>
      <w:rPr>
        <w:rFonts w:hint="default"/>
      </w:rPr>
    </w:lvl>
    <w:lvl w:ilvl="7">
      <w:start w:val="1"/>
      <w:numFmt w:val="lowerRoman"/>
      <w:lvlText w:val="%8."/>
      <w:lvlJc w:val="right"/>
      <w:pPr>
        <w:tabs>
          <w:tab w:val="num" w:pos="5400"/>
        </w:tabs>
        <w:ind w:left="5400" w:hanging="360"/>
      </w:pPr>
      <w:rPr>
        <w:rFonts w:hint="default"/>
      </w:rPr>
    </w:lvl>
    <w:lvl w:ilvl="8">
      <w:start w:val="1"/>
      <w:numFmt w:val="lowerRoman"/>
      <w:lvlText w:val="%9."/>
      <w:lvlJc w:val="right"/>
      <w:pPr>
        <w:tabs>
          <w:tab w:val="num" w:pos="6120"/>
        </w:tabs>
        <w:ind w:left="6120" w:hanging="360"/>
      </w:pPr>
      <w:rPr>
        <w:rFonts w:hint="default"/>
      </w:rPr>
    </w:lvl>
  </w:abstractNum>
  <w:abstractNum w:abstractNumId="31" w15:restartNumberingAfterBreak="0">
    <w:nsid w:val="41AE6A0D"/>
    <w:multiLevelType w:val="hybridMultilevel"/>
    <w:tmpl w:val="A09E40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4187EBA"/>
    <w:multiLevelType w:val="hybridMultilevel"/>
    <w:tmpl w:val="19648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4E955A2"/>
    <w:multiLevelType w:val="hybridMultilevel"/>
    <w:tmpl w:val="F5ECF66C"/>
    <w:lvl w:ilvl="0" w:tplc="81F287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5091B6C"/>
    <w:multiLevelType w:val="multilevel"/>
    <w:tmpl w:val="62D6130C"/>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452D0275"/>
    <w:multiLevelType w:val="hybridMultilevel"/>
    <w:tmpl w:val="E11A2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8B918FC"/>
    <w:multiLevelType w:val="hybridMultilevel"/>
    <w:tmpl w:val="74D20E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91449C4"/>
    <w:multiLevelType w:val="multilevel"/>
    <w:tmpl w:val="2F401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B827DA7"/>
    <w:multiLevelType w:val="hybridMultilevel"/>
    <w:tmpl w:val="64F6AF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4C826F28"/>
    <w:multiLevelType w:val="hybridMultilevel"/>
    <w:tmpl w:val="5CCEC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D2C6071"/>
    <w:multiLevelType w:val="hybridMultilevel"/>
    <w:tmpl w:val="22BE1DAE"/>
    <w:lvl w:ilvl="0" w:tplc="04090001">
      <w:start w:val="1"/>
      <w:numFmt w:val="bullet"/>
      <w:lvlText w:val=""/>
      <w:lvlJc w:val="left"/>
      <w:pPr>
        <w:ind w:left="360" w:hanging="360"/>
      </w:pPr>
      <w:rPr>
        <w:rFonts w:ascii="Symbol" w:hAnsi="Symbol" w:hint="default"/>
      </w:rPr>
    </w:lvl>
    <w:lvl w:ilvl="1" w:tplc="3F727C4C">
      <w:numFmt w:val="bullet"/>
      <w:lvlText w:val="•"/>
      <w:lvlJc w:val="left"/>
      <w:pPr>
        <w:ind w:left="1440" w:hanging="720"/>
      </w:pPr>
      <w:rPr>
        <w:rFonts w:ascii="Calibri" w:eastAsiaTheme="minorHAnsi" w:hAnsi="Calibri" w:cs="Calibr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526D6E9B"/>
    <w:multiLevelType w:val="hybridMultilevel"/>
    <w:tmpl w:val="647C5F92"/>
    <w:lvl w:ilvl="0" w:tplc="0409000F">
      <w:start w:val="1"/>
      <w:numFmt w:val="decimal"/>
      <w:lvlText w:val="%1."/>
      <w:lvlJc w:val="left"/>
      <w:pPr>
        <w:ind w:left="360" w:hanging="360"/>
      </w:pPr>
    </w:lvl>
    <w:lvl w:ilvl="1" w:tplc="0409001B">
      <w:start w:val="1"/>
      <w:numFmt w:val="lowerRoman"/>
      <w:lvlText w:val="%2."/>
      <w:lvlJc w:val="righ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559218F4"/>
    <w:multiLevelType w:val="hybridMultilevel"/>
    <w:tmpl w:val="12EEA6CA"/>
    <w:lvl w:ilvl="0" w:tplc="99341048">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90E445D"/>
    <w:multiLevelType w:val="hybridMultilevel"/>
    <w:tmpl w:val="AE826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9BA7E32"/>
    <w:multiLevelType w:val="multilevel"/>
    <w:tmpl w:val="37D44E8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5BBE556E"/>
    <w:multiLevelType w:val="hybridMultilevel"/>
    <w:tmpl w:val="43988846"/>
    <w:lvl w:ilvl="0" w:tplc="D08E71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20E11C1"/>
    <w:multiLevelType w:val="hybridMultilevel"/>
    <w:tmpl w:val="519C4112"/>
    <w:lvl w:ilvl="0" w:tplc="0409000F">
      <w:start w:val="1"/>
      <w:numFmt w:val="decimal"/>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22E5493"/>
    <w:multiLevelType w:val="multilevel"/>
    <w:tmpl w:val="67E8AD2A"/>
    <w:lvl w:ilvl="0">
      <w:start w:val="1"/>
      <mc:AlternateContent>
        <mc:Choice Requires="w14">
          <w:numFmt w:val="custom" w:format="α, β, γ, ..."/>
        </mc:Choice>
        <mc:Fallback>
          <w:numFmt w:val="decimal"/>
        </mc:Fallback>
      </mc:AlternateContent>
      <w:lvlText w:val="%1."/>
      <w:lvlJc w:val="left"/>
      <w:pPr>
        <w:tabs>
          <w:tab w:val="num" w:pos="360"/>
        </w:tabs>
        <w:ind w:left="360" w:hanging="360"/>
      </w:pPr>
      <w:rPr>
        <w:rFonts w:hint="default"/>
      </w:rPr>
    </w:lvl>
    <w:lvl w:ilvl="1">
      <w:start w:val="1"/>
      <w:numFmt w:val="lowerRoman"/>
      <w:lvlText w:val="%2."/>
      <w:lvlJc w:val="left"/>
      <w:pPr>
        <w:ind w:left="1440" w:hanging="720"/>
      </w:pPr>
      <w:rPr>
        <w:rFonts w:hint="default"/>
      </w:rPr>
    </w:lvl>
    <w:lvl w:ilvl="2">
      <w:numFmt w:val="bullet"/>
      <w:lvlText w:val="-"/>
      <w:lvlJc w:val="left"/>
      <w:pPr>
        <w:ind w:left="1800" w:hanging="360"/>
      </w:pPr>
      <w:rPr>
        <w:rFonts w:ascii="Calibri" w:eastAsiaTheme="minorHAnsi" w:hAnsi="Calibri" w:cstheme="minorBidi" w:hint="default"/>
        <w:b w:val="0"/>
      </w:rPr>
    </w:lvl>
    <w:lvl w:ilvl="3">
      <w:start w:val="1"/>
      <w:numFmt w:val="decimal"/>
      <w:lvlText w:val="%4."/>
      <w:lvlJc w:val="left"/>
      <w:pPr>
        <w:ind w:left="2520" w:hanging="360"/>
      </w:pPr>
      <w:rPr>
        <w:rFonts w:hint="default"/>
      </w:rPr>
    </w:lvl>
    <w:lvl w:ilvl="4">
      <w:start w:val="1"/>
      <w:numFmt w:val="lowerRoman"/>
      <w:lvlText w:val="%5."/>
      <w:lvlJc w:val="right"/>
      <w:pPr>
        <w:tabs>
          <w:tab w:val="num" w:pos="3240"/>
        </w:tabs>
        <w:ind w:left="3240" w:hanging="360"/>
      </w:pPr>
      <w:rPr>
        <w:rFonts w:hint="default"/>
      </w:rPr>
    </w:lvl>
    <w:lvl w:ilvl="5">
      <w:start w:val="1"/>
      <w:numFmt w:val="lowerRoman"/>
      <w:lvlText w:val="%6."/>
      <w:lvlJc w:val="right"/>
      <w:pPr>
        <w:tabs>
          <w:tab w:val="num" w:pos="3960"/>
        </w:tabs>
        <w:ind w:left="3960" w:hanging="360"/>
      </w:pPr>
      <w:rPr>
        <w:rFonts w:hint="default"/>
      </w:rPr>
    </w:lvl>
    <w:lvl w:ilvl="6">
      <w:start w:val="1"/>
      <w:numFmt w:val="lowerRoman"/>
      <w:lvlText w:val="%7."/>
      <w:lvlJc w:val="right"/>
      <w:pPr>
        <w:tabs>
          <w:tab w:val="num" w:pos="4680"/>
        </w:tabs>
        <w:ind w:left="4680" w:hanging="360"/>
      </w:pPr>
      <w:rPr>
        <w:rFonts w:hint="default"/>
      </w:rPr>
    </w:lvl>
    <w:lvl w:ilvl="7">
      <w:start w:val="1"/>
      <w:numFmt w:val="lowerRoman"/>
      <w:lvlText w:val="%8."/>
      <w:lvlJc w:val="right"/>
      <w:pPr>
        <w:tabs>
          <w:tab w:val="num" w:pos="5400"/>
        </w:tabs>
        <w:ind w:left="5400" w:hanging="360"/>
      </w:pPr>
      <w:rPr>
        <w:rFonts w:hint="default"/>
      </w:rPr>
    </w:lvl>
    <w:lvl w:ilvl="8">
      <w:start w:val="1"/>
      <w:numFmt w:val="lowerRoman"/>
      <w:lvlText w:val="%9."/>
      <w:lvlJc w:val="right"/>
      <w:pPr>
        <w:tabs>
          <w:tab w:val="num" w:pos="6120"/>
        </w:tabs>
        <w:ind w:left="6120" w:hanging="360"/>
      </w:pPr>
      <w:rPr>
        <w:rFonts w:hint="default"/>
      </w:rPr>
    </w:lvl>
  </w:abstractNum>
  <w:abstractNum w:abstractNumId="48" w15:restartNumberingAfterBreak="0">
    <w:nsid w:val="62366FB2"/>
    <w:multiLevelType w:val="hybridMultilevel"/>
    <w:tmpl w:val="A2DC7382"/>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1">
      <w:start w:val="1"/>
      <w:numFmt w:val="bullet"/>
      <w:lvlText w:val=""/>
      <w:lvlJc w:val="left"/>
      <w:pPr>
        <w:ind w:left="3240" w:hanging="180"/>
      </w:pPr>
      <w:rPr>
        <w:rFonts w:ascii="Symbol" w:hAnsi="Symbol"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15:restartNumberingAfterBreak="0">
    <w:nsid w:val="64880F4A"/>
    <w:multiLevelType w:val="hybridMultilevel"/>
    <w:tmpl w:val="FEC210EA"/>
    <w:lvl w:ilvl="0" w:tplc="0409000F">
      <w:start w:val="1"/>
      <w:numFmt w:val="decimal"/>
      <w:lvlText w:val="%1."/>
      <w:lvlJc w:val="left"/>
      <w:pPr>
        <w:ind w:left="720" w:hanging="360"/>
      </w:pPr>
    </w:lvl>
    <w:lvl w:ilvl="1" w:tplc="99341048">
      <w:start w:val="1"/>
      <mc:AlternateContent>
        <mc:Choice Requires="w14">
          <w:numFmt w:val="custom" w:format="α, β, γ, ..."/>
        </mc:Choice>
        <mc:Fallback>
          <w:numFmt w:val="decimal"/>
        </mc:Fallback>
      </mc:AlternateContent>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8C23180"/>
    <w:multiLevelType w:val="hybridMultilevel"/>
    <w:tmpl w:val="549C55B0"/>
    <w:lvl w:ilvl="0" w:tplc="0C14A544">
      <w:start w:val="1"/>
      <mc:AlternateContent>
        <mc:Choice Requires="w14">
          <w:numFmt w:val="custom" w:format="α, β, γ, ..."/>
        </mc:Choice>
        <mc:Fallback>
          <w:numFmt w:val="decimal"/>
        </mc:Fallback>
      </mc:AlternateContent>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6B893BCC"/>
    <w:multiLevelType w:val="hybridMultilevel"/>
    <w:tmpl w:val="725A49B0"/>
    <w:lvl w:ilvl="0" w:tplc="99341048">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E0D29E7"/>
    <w:multiLevelType w:val="hybridMultilevel"/>
    <w:tmpl w:val="8480C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EE21604"/>
    <w:multiLevelType w:val="multilevel"/>
    <w:tmpl w:val="3D16DD90"/>
    <w:lvl w:ilvl="0">
      <w:start w:val="1"/>
      <w:numFmt w:val="bullet"/>
      <w:lvlText w:val=""/>
      <w:lvlJc w:val="left"/>
      <w:pPr>
        <w:ind w:left="720" w:hanging="360"/>
      </w:pPr>
      <w:rPr>
        <w:rFonts w:ascii="Symbol" w:hAnsi="Symbol"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4" w15:restartNumberingAfterBreak="0">
    <w:nsid w:val="70011D45"/>
    <w:multiLevelType w:val="hybridMultilevel"/>
    <w:tmpl w:val="4E52F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04C642C"/>
    <w:multiLevelType w:val="hybridMultilevel"/>
    <w:tmpl w:val="B5F63D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24642CB"/>
    <w:multiLevelType w:val="multilevel"/>
    <w:tmpl w:val="37D44E8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75A64390"/>
    <w:multiLevelType w:val="hybridMultilevel"/>
    <w:tmpl w:val="531A69B8"/>
    <w:lvl w:ilvl="0" w:tplc="99341048">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3F727C4C">
      <w:numFmt w:val="bullet"/>
      <w:lvlText w:val="•"/>
      <w:lvlJc w:val="left"/>
      <w:pPr>
        <w:ind w:left="1800" w:hanging="72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77046A9"/>
    <w:multiLevelType w:val="hybridMultilevel"/>
    <w:tmpl w:val="259417AA"/>
    <w:lvl w:ilvl="0" w:tplc="99341048">
      <w:start w:val="1"/>
      <mc:AlternateContent>
        <mc:Choice Requires="w14">
          <w:numFmt w:val="custom" w:format="α, β, γ, ..."/>
        </mc:Choice>
        <mc:Fallback>
          <w:numFmt w:val="decimal"/>
        </mc:Fallback>
      </mc:AlternateContent>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59" w15:restartNumberingAfterBreak="0">
    <w:nsid w:val="78C15FAC"/>
    <w:multiLevelType w:val="hybridMultilevel"/>
    <w:tmpl w:val="354635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796F669F"/>
    <w:multiLevelType w:val="hybridMultilevel"/>
    <w:tmpl w:val="27487FAA"/>
    <w:lvl w:ilvl="0" w:tplc="99341048">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B606328"/>
    <w:multiLevelType w:val="hybridMultilevel"/>
    <w:tmpl w:val="7930B3FE"/>
    <w:lvl w:ilvl="0" w:tplc="0C14A544">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DC55162"/>
    <w:multiLevelType w:val="multilevel"/>
    <w:tmpl w:val="37D44E8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7F8271ED"/>
    <w:multiLevelType w:val="multilevel"/>
    <w:tmpl w:val="37D44E8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7"/>
  </w:num>
  <w:num w:numId="2">
    <w:abstractNumId w:val="18"/>
  </w:num>
  <w:num w:numId="3">
    <w:abstractNumId w:val="24"/>
  </w:num>
  <w:num w:numId="4">
    <w:abstractNumId w:val="4"/>
  </w:num>
  <w:num w:numId="5">
    <w:abstractNumId w:val="1"/>
  </w:num>
  <w:num w:numId="6">
    <w:abstractNumId w:val="61"/>
  </w:num>
  <w:num w:numId="7">
    <w:abstractNumId w:val="13"/>
  </w:num>
  <w:num w:numId="8">
    <w:abstractNumId w:val="7"/>
  </w:num>
  <w:num w:numId="9">
    <w:abstractNumId w:val="21"/>
  </w:num>
  <w:num w:numId="10">
    <w:abstractNumId w:val="0"/>
  </w:num>
  <w:num w:numId="11">
    <w:abstractNumId w:val="34"/>
  </w:num>
  <w:num w:numId="12">
    <w:abstractNumId w:val="23"/>
  </w:num>
  <w:num w:numId="13">
    <w:abstractNumId w:val="9"/>
  </w:num>
  <w:num w:numId="14">
    <w:abstractNumId w:val="2"/>
  </w:num>
  <w:num w:numId="15">
    <w:abstractNumId w:val="12"/>
  </w:num>
  <w:num w:numId="16">
    <w:abstractNumId w:val="20"/>
  </w:num>
  <w:num w:numId="17">
    <w:abstractNumId w:val="62"/>
  </w:num>
  <w:num w:numId="18">
    <w:abstractNumId w:val="63"/>
  </w:num>
  <w:num w:numId="19">
    <w:abstractNumId w:val="56"/>
  </w:num>
  <w:num w:numId="20">
    <w:abstractNumId w:val="3"/>
  </w:num>
  <w:num w:numId="21">
    <w:abstractNumId w:val="14"/>
  </w:num>
  <w:num w:numId="22">
    <w:abstractNumId w:val="6"/>
  </w:num>
  <w:num w:numId="23">
    <w:abstractNumId w:val="59"/>
  </w:num>
  <w:num w:numId="24">
    <w:abstractNumId w:val="28"/>
  </w:num>
  <w:num w:numId="25">
    <w:abstractNumId w:val="41"/>
  </w:num>
  <w:num w:numId="26">
    <w:abstractNumId w:val="46"/>
  </w:num>
  <w:num w:numId="27">
    <w:abstractNumId w:val="11"/>
  </w:num>
  <w:num w:numId="28">
    <w:abstractNumId w:val="44"/>
  </w:num>
  <w:num w:numId="29">
    <w:abstractNumId w:val="22"/>
  </w:num>
  <w:num w:numId="30">
    <w:abstractNumId w:val="16"/>
  </w:num>
  <w:num w:numId="31">
    <w:abstractNumId w:val="5"/>
  </w:num>
  <w:num w:numId="32">
    <w:abstractNumId w:val="26"/>
  </w:num>
  <w:num w:numId="33">
    <w:abstractNumId w:val="32"/>
  </w:num>
  <w:num w:numId="34">
    <w:abstractNumId w:val="31"/>
  </w:num>
  <w:num w:numId="35">
    <w:abstractNumId w:val="52"/>
  </w:num>
  <w:num w:numId="36">
    <w:abstractNumId w:val="8"/>
  </w:num>
  <w:num w:numId="37">
    <w:abstractNumId w:val="43"/>
  </w:num>
  <w:num w:numId="38">
    <w:abstractNumId w:val="35"/>
  </w:num>
  <w:num w:numId="39">
    <w:abstractNumId w:val="54"/>
  </w:num>
  <w:num w:numId="40">
    <w:abstractNumId w:val="30"/>
  </w:num>
  <w:num w:numId="41">
    <w:abstractNumId w:val="47"/>
  </w:num>
  <w:num w:numId="42">
    <w:abstractNumId w:val="50"/>
  </w:num>
  <w:num w:numId="43">
    <w:abstractNumId w:val="15"/>
  </w:num>
  <w:num w:numId="44">
    <w:abstractNumId w:val="36"/>
  </w:num>
  <w:num w:numId="45">
    <w:abstractNumId w:val="57"/>
  </w:num>
  <w:num w:numId="46">
    <w:abstractNumId w:val="40"/>
  </w:num>
  <w:num w:numId="47">
    <w:abstractNumId w:val="17"/>
  </w:num>
  <w:num w:numId="48">
    <w:abstractNumId w:val="29"/>
  </w:num>
  <w:num w:numId="49">
    <w:abstractNumId w:val="48"/>
  </w:num>
  <w:num w:numId="50">
    <w:abstractNumId w:val="55"/>
  </w:num>
  <w:num w:numId="51">
    <w:abstractNumId w:val="33"/>
  </w:num>
  <w:num w:numId="52">
    <w:abstractNumId w:val="45"/>
  </w:num>
  <w:num w:numId="53">
    <w:abstractNumId w:val="19"/>
  </w:num>
  <w:num w:numId="54">
    <w:abstractNumId w:val="10"/>
  </w:num>
  <w:num w:numId="55">
    <w:abstractNumId w:val="38"/>
  </w:num>
  <w:num w:numId="56">
    <w:abstractNumId w:val="53"/>
  </w:num>
  <w:num w:numId="57">
    <w:abstractNumId w:val="27"/>
  </w:num>
  <w:num w:numId="58">
    <w:abstractNumId w:val="25"/>
  </w:num>
  <w:num w:numId="59">
    <w:abstractNumId w:val="49"/>
  </w:num>
  <w:num w:numId="60">
    <w:abstractNumId w:val="60"/>
  </w:num>
  <w:num w:numId="61">
    <w:abstractNumId w:val="6"/>
  </w:num>
  <w:num w:numId="62">
    <w:abstractNumId w:val="39"/>
  </w:num>
  <w:num w:numId="63">
    <w:abstractNumId w:val="51"/>
  </w:num>
  <w:num w:numId="64">
    <w:abstractNumId w:val="42"/>
  </w:num>
  <w:num w:numId="65">
    <w:abstractNumId w:val="58"/>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activeWritingStyle w:appName="MSWord" w:lang="en-US" w:vendorID="64" w:dllVersion="6" w:nlCheck="1" w:checkStyle="1"/>
  <w:activeWritingStyle w:appName="MSWord" w:lang="en-US" w:vendorID="64" w:dllVersion="0" w:nlCheck="1" w:checkStyle="0"/>
  <w:trackRevisions/>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67F30DC"/>
    <w:rsid w:val="000001F8"/>
    <w:rsid w:val="00000334"/>
    <w:rsid w:val="00000655"/>
    <w:rsid w:val="0000094E"/>
    <w:rsid w:val="00000A41"/>
    <w:rsid w:val="00000CF8"/>
    <w:rsid w:val="00001517"/>
    <w:rsid w:val="000017C9"/>
    <w:rsid w:val="00001E80"/>
    <w:rsid w:val="00002921"/>
    <w:rsid w:val="00003540"/>
    <w:rsid w:val="00003C02"/>
    <w:rsid w:val="000040B4"/>
    <w:rsid w:val="00004FCE"/>
    <w:rsid w:val="00005147"/>
    <w:rsid w:val="0000583F"/>
    <w:rsid w:val="000059EB"/>
    <w:rsid w:val="000067A4"/>
    <w:rsid w:val="000073C8"/>
    <w:rsid w:val="00007477"/>
    <w:rsid w:val="00007875"/>
    <w:rsid w:val="000100CC"/>
    <w:rsid w:val="00010480"/>
    <w:rsid w:val="00010545"/>
    <w:rsid w:val="00010DCD"/>
    <w:rsid w:val="000114FB"/>
    <w:rsid w:val="00012D5C"/>
    <w:rsid w:val="00012D9A"/>
    <w:rsid w:val="00012E02"/>
    <w:rsid w:val="0001375B"/>
    <w:rsid w:val="00013CF0"/>
    <w:rsid w:val="0001427B"/>
    <w:rsid w:val="00016DDE"/>
    <w:rsid w:val="000174C4"/>
    <w:rsid w:val="0001782D"/>
    <w:rsid w:val="0002043F"/>
    <w:rsid w:val="00021832"/>
    <w:rsid w:val="00022CF0"/>
    <w:rsid w:val="00022D2C"/>
    <w:rsid w:val="00023530"/>
    <w:rsid w:val="0002373A"/>
    <w:rsid w:val="00023B80"/>
    <w:rsid w:val="00023CE8"/>
    <w:rsid w:val="00023F6C"/>
    <w:rsid w:val="000240F9"/>
    <w:rsid w:val="00024204"/>
    <w:rsid w:val="00024729"/>
    <w:rsid w:val="00024AFD"/>
    <w:rsid w:val="00025A21"/>
    <w:rsid w:val="00025A61"/>
    <w:rsid w:val="00025A79"/>
    <w:rsid w:val="00025B73"/>
    <w:rsid w:val="00025DBA"/>
    <w:rsid w:val="000266FB"/>
    <w:rsid w:val="00026831"/>
    <w:rsid w:val="00027072"/>
    <w:rsid w:val="000270AD"/>
    <w:rsid w:val="00027C5A"/>
    <w:rsid w:val="00027D2F"/>
    <w:rsid w:val="00027E2C"/>
    <w:rsid w:val="000300CE"/>
    <w:rsid w:val="0003095D"/>
    <w:rsid w:val="00030BD2"/>
    <w:rsid w:val="00030E73"/>
    <w:rsid w:val="00030F16"/>
    <w:rsid w:val="00030FDE"/>
    <w:rsid w:val="00031663"/>
    <w:rsid w:val="000318C8"/>
    <w:rsid w:val="00032D6E"/>
    <w:rsid w:val="00032E75"/>
    <w:rsid w:val="00032F9D"/>
    <w:rsid w:val="00033676"/>
    <w:rsid w:val="00034761"/>
    <w:rsid w:val="000357AE"/>
    <w:rsid w:val="00035878"/>
    <w:rsid w:val="00035889"/>
    <w:rsid w:val="00035BFC"/>
    <w:rsid w:val="000363AB"/>
    <w:rsid w:val="0004043C"/>
    <w:rsid w:val="000410FE"/>
    <w:rsid w:val="000417DC"/>
    <w:rsid w:val="00041C39"/>
    <w:rsid w:val="000424EB"/>
    <w:rsid w:val="000432BA"/>
    <w:rsid w:val="00043898"/>
    <w:rsid w:val="0004451A"/>
    <w:rsid w:val="00044DDB"/>
    <w:rsid w:val="000454DC"/>
    <w:rsid w:val="00045577"/>
    <w:rsid w:val="00045A8C"/>
    <w:rsid w:val="00045F6A"/>
    <w:rsid w:val="0004602B"/>
    <w:rsid w:val="00046889"/>
    <w:rsid w:val="00047214"/>
    <w:rsid w:val="00047D6E"/>
    <w:rsid w:val="00047E44"/>
    <w:rsid w:val="00050F37"/>
    <w:rsid w:val="000512B2"/>
    <w:rsid w:val="00051435"/>
    <w:rsid w:val="000527DA"/>
    <w:rsid w:val="00052E99"/>
    <w:rsid w:val="0005399C"/>
    <w:rsid w:val="000539BF"/>
    <w:rsid w:val="00054330"/>
    <w:rsid w:val="00054995"/>
    <w:rsid w:val="0005509A"/>
    <w:rsid w:val="000550C6"/>
    <w:rsid w:val="0005536D"/>
    <w:rsid w:val="000559EA"/>
    <w:rsid w:val="00055C94"/>
    <w:rsid w:val="0005635C"/>
    <w:rsid w:val="00056775"/>
    <w:rsid w:val="00056A0B"/>
    <w:rsid w:val="00056B2F"/>
    <w:rsid w:val="00056D50"/>
    <w:rsid w:val="00057C63"/>
    <w:rsid w:val="000590B6"/>
    <w:rsid w:val="000604D8"/>
    <w:rsid w:val="00060C15"/>
    <w:rsid w:val="000613F0"/>
    <w:rsid w:val="000618C3"/>
    <w:rsid w:val="0006198F"/>
    <w:rsid w:val="00061D98"/>
    <w:rsid w:val="00062786"/>
    <w:rsid w:val="00062D2C"/>
    <w:rsid w:val="0006391B"/>
    <w:rsid w:val="00064D6E"/>
    <w:rsid w:val="00064E4B"/>
    <w:rsid w:val="00064F0C"/>
    <w:rsid w:val="00065507"/>
    <w:rsid w:val="000656FD"/>
    <w:rsid w:val="0006676A"/>
    <w:rsid w:val="00066CE4"/>
    <w:rsid w:val="00067D39"/>
    <w:rsid w:val="00070177"/>
    <w:rsid w:val="000707AE"/>
    <w:rsid w:val="00070C5B"/>
    <w:rsid w:val="00070D1F"/>
    <w:rsid w:val="00071D03"/>
    <w:rsid w:val="00071E16"/>
    <w:rsid w:val="0007254C"/>
    <w:rsid w:val="00072D7B"/>
    <w:rsid w:val="00072F89"/>
    <w:rsid w:val="00073330"/>
    <w:rsid w:val="0007352F"/>
    <w:rsid w:val="000738E0"/>
    <w:rsid w:val="00073903"/>
    <w:rsid w:val="00073D78"/>
    <w:rsid w:val="00073E0B"/>
    <w:rsid w:val="00074169"/>
    <w:rsid w:val="00074278"/>
    <w:rsid w:val="0007460E"/>
    <w:rsid w:val="00074B49"/>
    <w:rsid w:val="000767ED"/>
    <w:rsid w:val="00076ABD"/>
    <w:rsid w:val="0007725E"/>
    <w:rsid w:val="0007762D"/>
    <w:rsid w:val="00077A01"/>
    <w:rsid w:val="00077C88"/>
    <w:rsid w:val="000807FE"/>
    <w:rsid w:val="0008132A"/>
    <w:rsid w:val="00082063"/>
    <w:rsid w:val="00082D0F"/>
    <w:rsid w:val="00083BDA"/>
    <w:rsid w:val="00083D1F"/>
    <w:rsid w:val="00083DA0"/>
    <w:rsid w:val="0008414F"/>
    <w:rsid w:val="00084315"/>
    <w:rsid w:val="00084539"/>
    <w:rsid w:val="00085591"/>
    <w:rsid w:val="00085D94"/>
    <w:rsid w:val="00085DAA"/>
    <w:rsid w:val="00085F2B"/>
    <w:rsid w:val="00086F11"/>
    <w:rsid w:val="00086F97"/>
    <w:rsid w:val="00087625"/>
    <w:rsid w:val="00087876"/>
    <w:rsid w:val="000904D9"/>
    <w:rsid w:val="00090AFC"/>
    <w:rsid w:val="00090E16"/>
    <w:rsid w:val="000916A3"/>
    <w:rsid w:val="00092106"/>
    <w:rsid w:val="000922A7"/>
    <w:rsid w:val="00092C9F"/>
    <w:rsid w:val="00092D0D"/>
    <w:rsid w:val="0009327C"/>
    <w:rsid w:val="000933B0"/>
    <w:rsid w:val="00093EC6"/>
    <w:rsid w:val="00093F02"/>
    <w:rsid w:val="00094079"/>
    <w:rsid w:val="000940B8"/>
    <w:rsid w:val="000941C7"/>
    <w:rsid w:val="000946B3"/>
    <w:rsid w:val="00094B1B"/>
    <w:rsid w:val="000954C7"/>
    <w:rsid w:val="00095936"/>
    <w:rsid w:val="00095B26"/>
    <w:rsid w:val="000960C7"/>
    <w:rsid w:val="00096743"/>
    <w:rsid w:val="0009737B"/>
    <w:rsid w:val="0009742A"/>
    <w:rsid w:val="000975AA"/>
    <w:rsid w:val="00097CFB"/>
    <w:rsid w:val="000A03A3"/>
    <w:rsid w:val="000A1D83"/>
    <w:rsid w:val="000A23A0"/>
    <w:rsid w:val="000A3859"/>
    <w:rsid w:val="000A3DB4"/>
    <w:rsid w:val="000A45AD"/>
    <w:rsid w:val="000A5A19"/>
    <w:rsid w:val="000A6B5E"/>
    <w:rsid w:val="000A7501"/>
    <w:rsid w:val="000A7683"/>
    <w:rsid w:val="000A7E2C"/>
    <w:rsid w:val="000B0A5D"/>
    <w:rsid w:val="000B108F"/>
    <w:rsid w:val="000B1368"/>
    <w:rsid w:val="000B156B"/>
    <w:rsid w:val="000B1EDF"/>
    <w:rsid w:val="000B2407"/>
    <w:rsid w:val="000B2755"/>
    <w:rsid w:val="000B319A"/>
    <w:rsid w:val="000B34A8"/>
    <w:rsid w:val="000B3893"/>
    <w:rsid w:val="000B3B23"/>
    <w:rsid w:val="000B3D99"/>
    <w:rsid w:val="000B433B"/>
    <w:rsid w:val="000B4586"/>
    <w:rsid w:val="000B4754"/>
    <w:rsid w:val="000B478A"/>
    <w:rsid w:val="000B47C5"/>
    <w:rsid w:val="000B507F"/>
    <w:rsid w:val="000B5227"/>
    <w:rsid w:val="000B53A9"/>
    <w:rsid w:val="000B5412"/>
    <w:rsid w:val="000B5D89"/>
    <w:rsid w:val="000B5FF0"/>
    <w:rsid w:val="000B6016"/>
    <w:rsid w:val="000B61FE"/>
    <w:rsid w:val="000B68F2"/>
    <w:rsid w:val="000B700D"/>
    <w:rsid w:val="000B7A2E"/>
    <w:rsid w:val="000C08F9"/>
    <w:rsid w:val="000C0C51"/>
    <w:rsid w:val="000C0EDA"/>
    <w:rsid w:val="000C115C"/>
    <w:rsid w:val="000C11A8"/>
    <w:rsid w:val="000C146E"/>
    <w:rsid w:val="000C1C1C"/>
    <w:rsid w:val="000C1DE3"/>
    <w:rsid w:val="000C2975"/>
    <w:rsid w:val="000C2CBC"/>
    <w:rsid w:val="000C2D3D"/>
    <w:rsid w:val="000C3356"/>
    <w:rsid w:val="000C42B8"/>
    <w:rsid w:val="000C445C"/>
    <w:rsid w:val="000C52DD"/>
    <w:rsid w:val="000C5815"/>
    <w:rsid w:val="000C5817"/>
    <w:rsid w:val="000C61CD"/>
    <w:rsid w:val="000C626B"/>
    <w:rsid w:val="000C69F9"/>
    <w:rsid w:val="000C711F"/>
    <w:rsid w:val="000C73E2"/>
    <w:rsid w:val="000C74C0"/>
    <w:rsid w:val="000C756A"/>
    <w:rsid w:val="000C75F1"/>
    <w:rsid w:val="000D0060"/>
    <w:rsid w:val="000D089D"/>
    <w:rsid w:val="000D08B3"/>
    <w:rsid w:val="000D1E35"/>
    <w:rsid w:val="000D22CA"/>
    <w:rsid w:val="000D2317"/>
    <w:rsid w:val="000D25DE"/>
    <w:rsid w:val="000D2A73"/>
    <w:rsid w:val="000D2D47"/>
    <w:rsid w:val="000D31D6"/>
    <w:rsid w:val="000D3BD5"/>
    <w:rsid w:val="000D3FB7"/>
    <w:rsid w:val="000D456D"/>
    <w:rsid w:val="000D4C0B"/>
    <w:rsid w:val="000D4DB5"/>
    <w:rsid w:val="000D535F"/>
    <w:rsid w:val="000D5916"/>
    <w:rsid w:val="000D6307"/>
    <w:rsid w:val="000D71FC"/>
    <w:rsid w:val="000D75DA"/>
    <w:rsid w:val="000D7BD4"/>
    <w:rsid w:val="000D7DCF"/>
    <w:rsid w:val="000E0254"/>
    <w:rsid w:val="000E031D"/>
    <w:rsid w:val="000E056D"/>
    <w:rsid w:val="000E0EF2"/>
    <w:rsid w:val="000E1A2B"/>
    <w:rsid w:val="000E1D24"/>
    <w:rsid w:val="000E1F63"/>
    <w:rsid w:val="000E2144"/>
    <w:rsid w:val="000E23E7"/>
    <w:rsid w:val="000E2E18"/>
    <w:rsid w:val="000E3895"/>
    <w:rsid w:val="000E40B7"/>
    <w:rsid w:val="000E44CC"/>
    <w:rsid w:val="000E49D7"/>
    <w:rsid w:val="000E4B0C"/>
    <w:rsid w:val="000E4D38"/>
    <w:rsid w:val="000E55EA"/>
    <w:rsid w:val="000E5C01"/>
    <w:rsid w:val="000E5E43"/>
    <w:rsid w:val="000E6431"/>
    <w:rsid w:val="000E64DE"/>
    <w:rsid w:val="000E7F94"/>
    <w:rsid w:val="000F0694"/>
    <w:rsid w:val="000F0859"/>
    <w:rsid w:val="000F09D7"/>
    <w:rsid w:val="000F1EEF"/>
    <w:rsid w:val="000F267C"/>
    <w:rsid w:val="000F27EA"/>
    <w:rsid w:val="000F2F0B"/>
    <w:rsid w:val="000F34F7"/>
    <w:rsid w:val="000F44BC"/>
    <w:rsid w:val="000F4971"/>
    <w:rsid w:val="000F534B"/>
    <w:rsid w:val="000F567B"/>
    <w:rsid w:val="000F5786"/>
    <w:rsid w:val="000F57AE"/>
    <w:rsid w:val="000F7FD0"/>
    <w:rsid w:val="00100948"/>
    <w:rsid w:val="00100D3D"/>
    <w:rsid w:val="00101212"/>
    <w:rsid w:val="00101804"/>
    <w:rsid w:val="001020F0"/>
    <w:rsid w:val="00102825"/>
    <w:rsid w:val="001032A8"/>
    <w:rsid w:val="0010368C"/>
    <w:rsid w:val="00103A25"/>
    <w:rsid w:val="00103B5C"/>
    <w:rsid w:val="00104770"/>
    <w:rsid w:val="00104B51"/>
    <w:rsid w:val="00104BEB"/>
    <w:rsid w:val="00104F41"/>
    <w:rsid w:val="00105271"/>
    <w:rsid w:val="001058AF"/>
    <w:rsid w:val="001060E0"/>
    <w:rsid w:val="0010694E"/>
    <w:rsid w:val="00106A2A"/>
    <w:rsid w:val="00107921"/>
    <w:rsid w:val="00107D29"/>
    <w:rsid w:val="00110597"/>
    <w:rsid w:val="00110C31"/>
    <w:rsid w:val="001114C4"/>
    <w:rsid w:val="0011190E"/>
    <w:rsid w:val="00111C95"/>
    <w:rsid w:val="00111E26"/>
    <w:rsid w:val="00111F08"/>
    <w:rsid w:val="001123B9"/>
    <w:rsid w:val="001123EF"/>
    <w:rsid w:val="001135B1"/>
    <w:rsid w:val="00115C2F"/>
    <w:rsid w:val="00116FCF"/>
    <w:rsid w:val="00117999"/>
    <w:rsid w:val="00117B23"/>
    <w:rsid w:val="00117D03"/>
    <w:rsid w:val="00117EED"/>
    <w:rsid w:val="00117FB0"/>
    <w:rsid w:val="001202EF"/>
    <w:rsid w:val="00120333"/>
    <w:rsid w:val="00120B74"/>
    <w:rsid w:val="00120D3C"/>
    <w:rsid w:val="00120F4D"/>
    <w:rsid w:val="001214BD"/>
    <w:rsid w:val="00121833"/>
    <w:rsid w:val="00121FB2"/>
    <w:rsid w:val="001220EA"/>
    <w:rsid w:val="0012228C"/>
    <w:rsid w:val="00122626"/>
    <w:rsid w:val="00123AB6"/>
    <w:rsid w:val="00123D4B"/>
    <w:rsid w:val="001241B2"/>
    <w:rsid w:val="00124282"/>
    <w:rsid w:val="00124378"/>
    <w:rsid w:val="001246ED"/>
    <w:rsid w:val="001247BA"/>
    <w:rsid w:val="00125140"/>
    <w:rsid w:val="00125189"/>
    <w:rsid w:val="001258C4"/>
    <w:rsid w:val="00126324"/>
    <w:rsid w:val="001268E3"/>
    <w:rsid w:val="00126CAE"/>
    <w:rsid w:val="00126F0A"/>
    <w:rsid w:val="00127FC5"/>
    <w:rsid w:val="00130260"/>
    <w:rsid w:val="00130500"/>
    <w:rsid w:val="00130E73"/>
    <w:rsid w:val="001316CF"/>
    <w:rsid w:val="00131F0C"/>
    <w:rsid w:val="00132A03"/>
    <w:rsid w:val="001342B3"/>
    <w:rsid w:val="00134892"/>
    <w:rsid w:val="0013546E"/>
    <w:rsid w:val="00135483"/>
    <w:rsid w:val="00135780"/>
    <w:rsid w:val="001358B8"/>
    <w:rsid w:val="0013596C"/>
    <w:rsid w:val="00135B21"/>
    <w:rsid w:val="00136409"/>
    <w:rsid w:val="00136B4A"/>
    <w:rsid w:val="0013776A"/>
    <w:rsid w:val="00137C04"/>
    <w:rsid w:val="00137FC0"/>
    <w:rsid w:val="00140178"/>
    <w:rsid w:val="001403FC"/>
    <w:rsid w:val="00141568"/>
    <w:rsid w:val="00141817"/>
    <w:rsid w:val="00141CC8"/>
    <w:rsid w:val="00141D4F"/>
    <w:rsid w:val="00141E52"/>
    <w:rsid w:val="001425B0"/>
    <w:rsid w:val="001425C7"/>
    <w:rsid w:val="00142D2F"/>
    <w:rsid w:val="001433E6"/>
    <w:rsid w:val="001442E2"/>
    <w:rsid w:val="001448BD"/>
    <w:rsid w:val="00144DD3"/>
    <w:rsid w:val="00144DF9"/>
    <w:rsid w:val="00144FD9"/>
    <w:rsid w:val="001453C6"/>
    <w:rsid w:val="001456A0"/>
    <w:rsid w:val="001459CC"/>
    <w:rsid w:val="00146E03"/>
    <w:rsid w:val="00146ED3"/>
    <w:rsid w:val="001470EE"/>
    <w:rsid w:val="00147799"/>
    <w:rsid w:val="001479C9"/>
    <w:rsid w:val="00147DB9"/>
    <w:rsid w:val="001506E9"/>
    <w:rsid w:val="00150EF7"/>
    <w:rsid w:val="0015170C"/>
    <w:rsid w:val="00151D6C"/>
    <w:rsid w:val="001522C0"/>
    <w:rsid w:val="0015273A"/>
    <w:rsid w:val="00152A7E"/>
    <w:rsid w:val="0015339F"/>
    <w:rsid w:val="00153A35"/>
    <w:rsid w:val="001541D4"/>
    <w:rsid w:val="00154436"/>
    <w:rsid w:val="00154667"/>
    <w:rsid w:val="00154AF1"/>
    <w:rsid w:val="00154D71"/>
    <w:rsid w:val="00154EAF"/>
    <w:rsid w:val="00154FE4"/>
    <w:rsid w:val="0015508A"/>
    <w:rsid w:val="001557BF"/>
    <w:rsid w:val="00156895"/>
    <w:rsid w:val="001578D3"/>
    <w:rsid w:val="0016004E"/>
    <w:rsid w:val="00160940"/>
    <w:rsid w:val="00160E18"/>
    <w:rsid w:val="001613EE"/>
    <w:rsid w:val="00161883"/>
    <w:rsid w:val="00161CC1"/>
    <w:rsid w:val="00161DA5"/>
    <w:rsid w:val="00162A25"/>
    <w:rsid w:val="00163339"/>
    <w:rsid w:val="00164A09"/>
    <w:rsid w:val="00164BD2"/>
    <w:rsid w:val="00164E6D"/>
    <w:rsid w:val="001652CA"/>
    <w:rsid w:val="00165457"/>
    <w:rsid w:val="001656E1"/>
    <w:rsid w:val="0016637F"/>
    <w:rsid w:val="001665F7"/>
    <w:rsid w:val="00166618"/>
    <w:rsid w:val="00167F93"/>
    <w:rsid w:val="00170D46"/>
    <w:rsid w:val="00171002"/>
    <w:rsid w:val="00171981"/>
    <w:rsid w:val="00171B56"/>
    <w:rsid w:val="0017206D"/>
    <w:rsid w:val="00173A69"/>
    <w:rsid w:val="00173C81"/>
    <w:rsid w:val="00173F7F"/>
    <w:rsid w:val="00175495"/>
    <w:rsid w:val="001758C6"/>
    <w:rsid w:val="0017614A"/>
    <w:rsid w:val="00176DE3"/>
    <w:rsid w:val="00177379"/>
    <w:rsid w:val="00177886"/>
    <w:rsid w:val="0018063F"/>
    <w:rsid w:val="00182593"/>
    <w:rsid w:val="00182B9A"/>
    <w:rsid w:val="00183E30"/>
    <w:rsid w:val="001841C6"/>
    <w:rsid w:val="0018471D"/>
    <w:rsid w:val="0018480F"/>
    <w:rsid w:val="00184A67"/>
    <w:rsid w:val="00185071"/>
    <w:rsid w:val="00185136"/>
    <w:rsid w:val="00185426"/>
    <w:rsid w:val="00185D63"/>
    <w:rsid w:val="00185D6A"/>
    <w:rsid w:val="00185EB1"/>
    <w:rsid w:val="001861C8"/>
    <w:rsid w:val="00187020"/>
    <w:rsid w:val="00187214"/>
    <w:rsid w:val="00187C88"/>
    <w:rsid w:val="00187CCA"/>
    <w:rsid w:val="0019033E"/>
    <w:rsid w:val="0019048C"/>
    <w:rsid w:val="00190803"/>
    <w:rsid w:val="00190ADA"/>
    <w:rsid w:val="00191A33"/>
    <w:rsid w:val="00191A86"/>
    <w:rsid w:val="0019221A"/>
    <w:rsid w:val="00192B78"/>
    <w:rsid w:val="00192FC9"/>
    <w:rsid w:val="001930A9"/>
    <w:rsid w:val="00193365"/>
    <w:rsid w:val="0019380E"/>
    <w:rsid w:val="0019420C"/>
    <w:rsid w:val="001945DD"/>
    <w:rsid w:val="001957FC"/>
    <w:rsid w:val="001958BE"/>
    <w:rsid w:val="00195DF8"/>
    <w:rsid w:val="00195EDF"/>
    <w:rsid w:val="00196345"/>
    <w:rsid w:val="00196682"/>
    <w:rsid w:val="00197400"/>
    <w:rsid w:val="001974F1"/>
    <w:rsid w:val="00197761"/>
    <w:rsid w:val="00197D4A"/>
    <w:rsid w:val="001A0531"/>
    <w:rsid w:val="001A0A21"/>
    <w:rsid w:val="001A0F65"/>
    <w:rsid w:val="001A11E3"/>
    <w:rsid w:val="001A1359"/>
    <w:rsid w:val="001A1AE2"/>
    <w:rsid w:val="001A1CBA"/>
    <w:rsid w:val="001A250A"/>
    <w:rsid w:val="001A2A86"/>
    <w:rsid w:val="001A2D69"/>
    <w:rsid w:val="001A2E0F"/>
    <w:rsid w:val="001A4173"/>
    <w:rsid w:val="001A56CD"/>
    <w:rsid w:val="001A5E5A"/>
    <w:rsid w:val="001A5F44"/>
    <w:rsid w:val="001A603C"/>
    <w:rsid w:val="001A6B03"/>
    <w:rsid w:val="001A6BDD"/>
    <w:rsid w:val="001A7A6D"/>
    <w:rsid w:val="001B017A"/>
    <w:rsid w:val="001B0274"/>
    <w:rsid w:val="001B0286"/>
    <w:rsid w:val="001B16A9"/>
    <w:rsid w:val="001B1730"/>
    <w:rsid w:val="001B17AB"/>
    <w:rsid w:val="001B269C"/>
    <w:rsid w:val="001B275D"/>
    <w:rsid w:val="001B27AC"/>
    <w:rsid w:val="001B2D00"/>
    <w:rsid w:val="001B2ED7"/>
    <w:rsid w:val="001B3072"/>
    <w:rsid w:val="001B3BC8"/>
    <w:rsid w:val="001B48D9"/>
    <w:rsid w:val="001B4BDE"/>
    <w:rsid w:val="001B4F72"/>
    <w:rsid w:val="001B5157"/>
    <w:rsid w:val="001B606B"/>
    <w:rsid w:val="001B60A5"/>
    <w:rsid w:val="001B687C"/>
    <w:rsid w:val="001B7BF9"/>
    <w:rsid w:val="001B7D60"/>
    <w:rsid w:val="001B7E2C"/>
    <w:rsid w:val="001C0072"/>
    <w:rsid w:val="001C0305"/>
    <w:rsid w:val="001C0339"/>
    <w:rsid w:val="001C03F8"/>
    <w:rsid w:val="001C04E7"/>
    <w:rsid w:val="001C1298"/>
    <w:rsid w:val="001C12A9"/>
    <w:rsid w:val="001C165F"/>
    <w:rsid w:val="001C168F"/>
    <w:rsid w:val="001C201F"/>
    <w:rsid w:val="001C215F"/>
    <w:rsid w:val="001C2C8F"/>
    <w:rsid w:val="001C2D59"/>
    <w:rsid w:val="001C3139"/>
    <w:rsid w:val="001C314B"/>
    <w:rsid w:val="001C50C8"/>
    <w:rsid w:val="001C594F"/>
    <w:rsid w:val="001C5EDE"/>
    <w:rsid w:val="001C6377"/>
    <w:rsid w:val="001D02A5"/>
    <w:rsid w:val="001D02A6"/>
    <w:rsid w:val="001D030C"/>
    <w:rsid w:val="001D1336"/>
    <w:rsid w:val="001D148F"/>
    <w:rsid w:val="001D17BF"/>
    <w:rsid w:val="001D1ABA"/>
    <w:rsid w:val="001D1B98"/>
    <w:rsid w:val="001D1D93"/>
    <w:rsid w:val="001D245C"/>
    <w:rsid w:val="001D2818"/>
    <w:rsid w:val="001D29D6"/>
    <w:rsid w:val="001D2A99"/>
    <w:rsid w:val="001D319A"/>
    <w:rsid w:val="001D37FD"/>
    <w:rsid w:val="001D3D4F"/>
    <w:rsid w:val="001D3E25"/>
    <w:rsid w:val="001D3F77"/>
    <w:rsid w:val="001D48F9"/>
    <w:rsid w:val="001D4D92"/>
    <w:rsid w:val="001D71A7"/>
    <w:rsid w:val="001E0078"/>
    <w:rsid w:val="001E0F67"/>
    <w:rsid w:val="001E10DC"/>
    <w:rsid w:val="001E14BF"/>
    <w:rsid w:val="001E15E3"/>
    <w:rsid w:val="001E1AFA"/>
    <w:rsid w:val="001E1E77"/>
    <w:rsid w:val="001E3291"/>
    <w:rsid w:val="001E3CBC"/>
    <w:rsid w:val="001E3D28"/>
    <w:rsid w:val="001E3D3E"/>
    <w:rsid w:val="001E3DF2"/>
    <w:rsid w:val="001E4185"/>
    <w:rsid w:val="001E43B2"/>
    <w:rsid w:val="001E47F0"/>
    <w:rsid w:val="001E49DA"/>
    <w:rsid w:val="001E50AD"/>
    <w:rsid w:val="001E51FC"/>
    <w:rsid w:val="001E53C2"/>
    <w:rsid w:val="001E56DA"/>
    <w:rsid w:val="001E5C23"/>
    <w:rsid w:val="001E63F1"/>
    <w:rsid w:val="001E68E6"/>
    <w:rsid w:val="001E73D5"/>
    <w:rsid w:val="001E78FD"/>
    <w:rsid w:val="001E7962"/>
    <w:rsid w:val="001F0228"/>
    <w:rsid w:val="001F0A60"/>
    <w:rsid w:val="001F1DAE"/>
    <w:rsid w:val="001F331B"/>
    <w:rsid w:val="001F3566"/>
    <w:rsid w:val="001F3592"/>
    <w:rsid w:val="001F4343"/>
    <w:rsid w:val="001F46D7"/>
    <w:rsid w:val="001F5828"/>
    <w:rsid w:val="001F5AB5"/>
    <w:rsid w:val="001F6DC6"/>
    <w:rsid w:val="0020008A"/>
    <w:rsid w:val="002002AC"/>
    <w:rsid w:val="00200CC4"/>
    <w:rsid w:val="00201666"/>
    <w:rsid w:val="00201ADF"/>
    <w:rsid w:val="00201BD0"/>
    <w:rsid w:val="00201F10"/>
    <w:rsid w:val="00202478"/>
    <w:rsid w:val="002026AB"/>
    <w:rsid w:val="00202F2F"/>
    <w:rsid w:val="00203686"/>
    <w:rsid w:val="00203807"/>
    <w:rsid w:val="00203A1B"/>
    <w:rsid w:val="00203D36"/>
    <w:rsid w:val="00203FC9"/>
    <w:rsid w:val="0020401F"/>
    <w:rsid w:val="00204A62"/>
    <w:rsid w:val="00204AC7"/>
    <w:rsid w:val="00205457"/>
    <w:rsid w:val="00205605"/>
    <w:rsid w:val="00205A24"/>
    <w:rsid w:val="00205A47"/>
    <w:rsid w:val="00206467"/>
    <w:rsid w:val="00206789"/>
    <w:rsid w:val="002068B7"/>
    <w:rsid w:val="00206C3F"/>
    <w:rsid w:val="00206DF4"/>
    <w:rsid w:val="0020731F"/>
    <w:rsid w:val="002073E1"/>
    <w:rsid w:val="002075FB"/>
    <w:rsid w:val="00207E16"/>
    <w:rsid w:val="002101DC"/>
    <w:rsid w:val="002103F6"/>
    <w:rsid w:val="00210FBF"/>
    <w:rsid w:val="002114B2"/>
    <w:rsid w:val="002117A0"/>
    <w:rsid w:val="00211AD6"/>
    <w:rsid w:val="002123A4"/>
    <w:rsid w:val="00212D72"/>
    <w:rsid w:val="0021319E"/>
    <w:rsid w:val="002132A9"/>
    <w:rsid w:val="00213303"/>
    <w:rsid w:val="00213519"/>
    <w:rsid w:val="0021362C"/>
    <w:rsid w:val="00213869"/>
    <w:rsid w:val="00213A4F"/>
    <w:rsid w:val="00213C6D"/>
    <w:rsid w:val="0021411D"/>
    <w:rsid w:val="0021428C"/>
    <w:rsid w:val="002143CA"/>
    <w:rsid w:val="00214812"/>
    <w:rsid w:val="00214E82"/>
    <w:rsid w:val="00215125"/>
    <w:rsid w:val="0021513A"/>
    <w:rsid w:val="00216CF6"/>
    <w:rsid w:val="00216F07"/>
    <w:rsid w:val="0021744C"/>
    <w:rsid w:val="00217FD1"/>
    <w:rsid w:val="00217FFC"/>
    <w:rsid w:val="00220542"/>
    <w:rsid w:val="0022071A"/>
    <w:rsid w:val="00220E77"/>
    <w:rsid w:val="00221926"/>
    <w:rsid w:val="00221D3C"/>
    <w:rsid w:val="00222074"/>
    <w:rsid w:val="0022259A"/>
    <w:rsid w:val="00222FF1"/>
    <w:rsid w:val="00223274"/>
    <w:rsid w:val="00223DE6"/>
    <w:rsid w:val="00224392"/>
    <w:rsid w:val="00224BFC"/>
    <w:rsid w:val="00224CAA"/>
    <w:rsid w:val="002251DC"/>
    <w:rsid w:val="002255E1"/>
    <w:rsid w:val="0022592B"/>
    <w:rsid w:val="0022608A"/>
    <w:rsid w:val="002261AA"/>
    <w:rsid w:val="0022624F"/>
    <w:rsid w:val="0022649E"/>
    <w:rsid w:val="002267B8"/>
    <w:rsid w:val="002271BA"/>
    <w:rsid w:val="0022737F"/>
    <w:rsid w:val="00227437"/>
    <w:rsid w:val="00227450"/>
    <w:rsid w:val="00230A3C"/>
    <w:rsid w:val="00230C5E"/>
    <w:rsid w:val="002312AB"/>
    <w:rsid w:val="002315F4"/>
    <w:rsid w:val="00233420"/>
    <w:rsid w:val="00233FE4"/>
    <w:rsid w:val="00234237"/>
    <w:rsid w:val="00234B5E"/>
    <w:rsid w:val="00234D85"/>
    <w:rsid w:val="00235752"/>
    <w:rsid w:val="00236C37"/>
    <w:rsid w:val="00237621"/>
    <w:rsid w:val="00237647"/>
    <w:rsid w:val="002379DC"/>
    <w:rsid w:val="002407EA"/>
    <w:rsid w:val="00240818"/>
    <w:rsid w:val="00240B7E"/>
    <w:rsid w:val="00240E1F"/>
    <w:rsid w:val="00240F3A"/>
    <w:rsid w:val="00241AE6"/>
    <w:rsid w:val="00241FFA"/>
    <w:rsid w:val="002420AC"/>
    <w:rsid w:val="00242EDA"/>
    <w:rsid w:val="00243225"/>
    <w:rsid w:val="00244935"/>
    <w:rsid w:val="00244A6F"/>
    <w:rsid w:val="00244AEE"/>
    <w:rsid w:val="00245A19"/>
    <w:rsid w:val="00245A49"/>
    <w:rsid w:val="00245B2E"/>
    <w:rsid w:val="00245D5D"/>
    <w:rsid w:val="00246094"/>
    <w:rsid w:val="00246437"/>
    <w:rsid w:val="00246CAE"/>
    <w:rsid w:val="002471B9"/>
    <w:rsid w:val="002503C2"/>
    <w:rsid w:val="0025065E"/>
    <w:rsid w:val="00250A72"/>
    <w:rsid w:val="002511CC"/>
    <w:rsid w:val="00251D59"/>
    <w:rsid w:val="00252AE2"/>
    <w:rsid w:val="00252B3D"/>
    <w:rsid w:val="00252CA7"/>
    <w:rsid w:val="00253339"/>
    <w:rsid w:val="00253DE4"/>
    <w:rsid w:val="00254B1A"/>
    <w:rsid w:val="00254F1A"/>
    <w:rsid w:val="002552B3"/>
    <w:rsid w:val="0025544F"/>
    <w:rsid w:val="00255670"/>
    <w:rsid w:val="0025604A"/>
    <w:rsid w:val="00256658"/>
    <w:rsid w:val="00256C50"/>
    <w:rsid w:val="002574BF"/>
    <w:rsid w:val="00257D98"/>
    <w:rsid w:val="002603DF"/>
    <w:rsid w:val="00260A0F"/>
    <w:rsid w:val="00260CC3"/>
    <w:rsid w:val="0026116A"/>
    <w:rsid w:val="00261A9C"/>
    <w:rsid w:val="002628AC"/>
    <w:rsid w:val="00262F6A"/>
    <w:rsid w:val="002630EC"/>
    <w:rsid w:val="0026312A"/>
    <w:rsid w:val="00263686"/>
    <w:rsid w:val="00263865"/>
    <w:rsid w:val="00263E34"/>
    <w:rsid w:val="0026548E"/>
    <w:rsid w:val="002657FF"/>
    <w:rsid w:val="002660BE"/>
    <w:rsid w:val="00266137"/>
    <w:rsid w:val="0026635B"/>
    <w:rsid w:val="00267610"/>
    <w:rsid w:val="00267658"/>
    <w:rsid w:val="00267718"/>
    <w:rsid w:val="00267DA1"/>
    <w:rsid w:val="002709D6"/>
    <w:rsid w:val="0027119F"/>
    <w:rsid w:val="00271C5C"/>
    <w:rsid w:val="00272DB3"/>
    <w:rsid w:val="00272F18"/>
    <w:rsid w:val="00273749"/>
    <w:rsid w:val="00274A55"/>
    <w:rsid w:val="00275792"/>
    <w:rsid w:val="002771A0"/>
    <w:rsid w:val="00277BB8"/>
    <w:rsid w:val="0028017A"/>
    <w:rsid w:val="002808FA"/>
    <w:rsid w:val="00281F89"/>
    <w:rsid w:val="0028200F"/>
    <w:rsid w:val="0028239A"/>
    <w:rsid w:val="002823CD"/>
    <w:rsid w:val="002827B7"/>
    <w:rsid w:val="00282941"/>
    <w:rsid w:val="002829F3"/>
    <w:rsid w:val="00282A43"/>
    <w:rsid w:val="00282A83"/>
    <w:rsid w:val="00283E70"/>
    <w:rsid w:val="00285902"/>
    <w:rsid w:val="0028629F"/>
    <w:rsid w:val="002865EE"/>
    <w:rsid w:val="002866A6"/>
    <w:rsid w:val="00286D36"/>
    <w:rsid w:val="002876D7"/>
    <w:rsid w:val="00287862"/>
    <w:rsid w:val="00287CC2"/>
    <w:rsid w:val="00290719"/>
    <w:rsid w:val="0029113C"/>
    <w:rsid w:val="0029145A"/>
    <w:rsid w:val="00291969"/>
    <w:rsid w:val="00291AEF"/>
    <w:rsid w:val="00291B83"/>
    <w:rsid w:val="002927DC"/>
    <w:rsid w:val="00292C24"/>
    <w:rsid w:val="00292D56"/>
    <w:rsid w:val="00293276"/>
    <w:rsid w:val="002933C2"/>
    <w:rsid w:val="00293582"/>
    <w:rsid w:val="00293920"/>
    <w:rsid w:val="002940CD"/>
    <w:rsid w:val="0029454F"/>
    <w:rsid w:val="00294B61"/>
    <w:rsid w:val="00294D20"/>
    <w:rsid w:val="00295FFD"/>
    <w:rsid w:val="0029663A"/>
    <w:rsid w:val="002974BA"/>
    <w:rsid w:val="00297C1E"/>
    <w:rsid w:val="002A0EB3"/>
    <w:rsid w:val="002A103A"/>
    <w:rsid w:val="002A150C"/>
    <w:rsid w:val="002A1E7F"/>
    <w:rsid w:val="002A1F70"/>
    <w:rsid w:val="002A26E5"/>
    <w:rsid w:val="002A2DC0"/>
    <w:rsid w:val="002A3797"/>
    <w:rsid w:val="002A3DEA"/>
    <w:rsid w:val="002A4980"/>
    <w:rsid w:val="002A4B49"/>
    <w:rsid w:val="002A4C24"/>
    <w:rsid w:val="002A4DEB"/>
    <w:rsid w:val="002A542A"/>
    <w:rsid w:val="002A5671"/>
    <w:rsid w:val="002A5C74"/>
    <w:rsid w:val="002A5E98"/>
    <w:rsid w:val="002A60F4"/>
    <w:rsid w:val="002A655B"/>
    <w:rsid w:val="002A671A"/>
    <w:rsid w:val="002A6C1F"/>
    <w:rsid w:val="002A7D39"/>
    <w:rsid w:val="002B0671"/>
    <w:rsid w:val="002B0818"/>
    <w:rsid w:val="002B0953"/>
    <w:rsid w:val="002B0AB8"/>
    <w:rsid w:val="002B0FAB"/>
    <w:rsid w:val="002B0FE9"/>
    <w:rsid w:val="002B16C4"/>
    <w:rsid w:val="002B1BC0"/>
    <w:rsid w:val="002B25A5"/>
    <w:rsid w:val="002B25D9"/>
    <w:rsid w:val="002B28E7"/>
    <w:rsid w:val="002B361E"/>
    <w:rsid w:val="002B3AEC"/>
    <w:rsid w:val="002B3BD1"/>
    <w:rsid w:val="002B3D28"/>
    <w:rsid w:val="002B3EDA"/>
    <w:rsid w:val="002B4279"/>
    <w:rsid w:val="002B42EF"/>
    <w:rsid w:val="002B465C"/>
    <w:rsid w:val="002B4A02"/>
    <w:rsid w:val="002B4F60"/>
    <w:rsid w:val="002B5001"/>
    <w:rsid w:val="002B5B30"/>
    <w:rsid w:val="002B6655"/>
    <w:rsid w:val="002B6817"/>
    <w:rsid w:val="002B716D"/>
    <w:rsid w:val="002B720E"/>
    <w:rsid w:val="002B7DF2"/>
    <w:rsid w:val="002C0578"/>
    <w:rsid w:val="002C3F13"/>
    <w:rsid w:val="002C4E24"/>
    <w:rsid w:val="002C60D9"/>
    <w:rsid w:val="002C6386"/>
    <w:rsid w:val="002C6922"/>
    <w:rsid w:val="002C69E7"/>
    <w:rsid w:val="002C7171"/>
    <w:rsid w:val="002C7A09"/>
    <w:rsid w:val="002C7DD2"/>
    <w:rsid w:val="002C7FE4"/>
    <w:rsid w:val="002D026F"/>
    <w:rsid w:val="002D04CD"/>
    <w:rsid w:val="002D04D9"/>
    <w:rsid w:val="002D0690"/>
    <w:rsid w:val="002D0EC3"/>
    <w:rsid w:val="002D10AC"/>
    <w:rsid w:val="002D10D0"/>
    <w:rsid w:val="002D1489"/>
    <w:rsid w:val="002D15B3"/>
    <w:rsid w:val="002D1F55"/>
    <w:rsid w:val="002D2327"/>
    <w:rsid w:val="002D26F0"/>
    <w:rsid w:val="002D270E"/>
    <w:rsid w:val="002D2C56"/>
    <w:rsid w:val="002D57C6"/>
    <w:rsid w:val="002D5DAA"/>
    <w:rsid w:val="002D5E6F"/>
    <w:rsid w:val="002D6ECE"/>
    <w:rsid w:val="002D70D3"/>
    <w:rsid w:val="002D7100"/>
    <w:rsid w:val="002D7513"/>
    <w:rsid w:val="002D76DF"/>
    <w:rsid w:val="002D7815"/>
    <w:rsid w:val="002E0242"/>
    <w:rsid w:val="002E02EA"/>
    <w:rsid w:val="002E09FB"/>
    <w:rsid w:val="002E15ED"/>
    <w:rsid w:val="002E2032"/>
    <w:rsid w:val="002E2325"/>
    <w:rsid w:val="002E2D5B"/>
    <w:rsid w:val="002E2F7C"/>
    <w:rsid w:val="002E364A"/>
    <w:rsid w:val="002E375E"/>
    <w:rsid w:val="002E3E6F"/>
    <w:rsid w:val="002E4640"/>
    <w:rsid w:val="002E4655"/>
    <w:rsid w:val="002E4C27"/>
    <w:rsid w:val="002E53AC"/>
    <w:rsid w:val="002E5554"/>
    <w:rsid w:val="002E5F7B"/>
    <w:rsid w:val="002E67C6"/>
    <w:rsid w:val="002E6D6A"/>
    <w:rsid w:val="002E73B5"/>
    <w:rsid w:val="002E780D"/>
    <w:rsid w:val="002E7F51"/>
    <w:rsid w:val="002E7F9E"/>
    <w:rsid w:val="002F0127"/>
    <w:rsid w:val="002F10C0"/>
    <w:rsid w:val="002F1247"/>
    <w:rsid w:val="002F1564"/>
    <w:rsid w:val="002F162E"/>
    <w:rsid w:val="002F19EE"/>
    <w:rsid w:val="002F2207"/>
    <w:rsid w:val="002F25D9"/>
    <w:rsid w:val="002F2EC3"/>
    <w:rsid w:val="002F394A"/>
    <w:rsid w:val="002F5157"/>
    <w:rsid w:val="002F542E"/>
    <w:rsid w:val="002F57B1"/>
    <w:rsid w:val="002F5F2A"/>
    <w:rsid w:val="002F6160"/>
    <w:rsid w:val="002F698C"/>
    <w:rsid w:val="002F6A59"/>
    <w:rsid w:val="002F6BF3"/>
    <w:rsid w:val="002F7220"/>
    <w:rsid w:val="002F7476"/>
    <w:rsid w:val="00300489"/>
    <w:rsid w:val="00301231"/>
    <w:rsid w:val="00301BE3"/>
    <w:rsid w:val="00301C57"/>
    <w:rsid w:val="00303623"/>
    <w:rsid w:val="00303C48"/>
    <w:rsid w:val="003045B3"/>
    <w:rsid w:val="00304B71"/>
    <w:rsid w:val="003054BC"/>
    <w:rsid w:val="00305A87"/>
    <w:rsid w:val="00306461"/>
    <w:rsid w:val="00306AE8"/>
    <w:rsid w:val="003070DC"/>
    <w:rsid w:val="003072D7"/>
    <w:rsid w:val="00307EAC"/>
    <w:rsid w:val="00310AD0"/>
    <w:rsid w:val="00310FB3"/>
    <w:rsid w:val="00311C5D"/>
    <w:rsid w:val="00311F0B"/>
    <w:rsid w:val="00311FB2"/>
    <w:rsid w:val="0031279E"/>
    <w:rsid w:val="00312FD3"/>
    <w:rsid w:val="00314096"/>
    <w:rsid w:val="003144F9"/>
    <w:rsid w:val="00314BAA"/>
    <w:rsid w:val="003151E2"/>
    <w:rsid w:val="00316069"/>
    <w:rsid w:val="003163CA"/>
    <w:rsid w:val="00316B0F"/>
    <w:rsid w:val="00317315"/>
    <w:rsid w:val="0032036C"/>
    <w:rsid w:val="0032071E"/>
    <w:rsid w:val="00320A1D"/>
    <w:rsid w:val="00320DF2"/>
    <w:rsid w:val="00321B03"/>
    <w:rsid w:val="00321F9D"/>
    <w:rsid w:val="003222B9"/>
    <w:rsid w:val="0032242F"/>
    <w:rsid w:val="00322D22"/>
    <w:rsid w:val="00322E6D"/>
    <w:rsid w:val="00323293"/>
    <w:rsid w:val="00323479"/>
    <w:rsid w:val="003238AA"/>
    <w:rsid w:val="00323950"/>
    <w:rsid w:val="00324575"/>
    <w:rsid w:val="00324934"/>
    <w:rsid w:val="00324F9E"/>
    <w:rsid w:val="00325753"/>
    <w:rsid w:val="00325CC6"/>
    <w:rsid w:val="00325D8C"/>
    <w:rsid w:val="00325F2B"/>
    <w:rsid w:val="003265A5"/>
    <w:rsid w:val="003266CC"/>
    <w:rsid w:val="0032698F"/>
    <w:rsid w:val="0032710A"/>
    <w:rsid w:val="003274FB"/>
    <w:rsid w:val="003279BD"/>
    <w:rsid w:val="00330302"/>
    <w:rsid w:val="003303D5"/>
    <w:rsid w:val="00330FD1"/>
    <w:rsid w:val="003315E7"/>
    <w:rsid w:val="00331B6A"/>
    <w:rsid w:val="00331BEA"/>
    <w:rsid w:val="003320D3"/>
    <w:rsid w:val="003322DB"/>
    <w:rsid w:val="00332784"/>
    <w:rsid w:val="00333B20"/>
    <w:rsid w:val="00333C5A"/>
    <w:rsid w:val="0033456B"/>
    <w:rsid w:val="00334604"/>
    <w:rsid w:val="00334764"/>
    <w:rsid w:val="00334AEA"/>
    <w:rsid w:val="00335B43"/>
    <w:rsid w:val="0033606A"/>
    <w:rsid w:val="003360E7"/>
    <w:rsid w:val="00336119"/>
    <w:rsid w:val="0033622E"/>
    <w:rsid w:val="0033663B"/>
    <w:rsid w:val="0033681F"/>
    <w:rsid w:val="00336B81"/>
    <w:rsid w:val="00336F61"/>
    <w:rsid w:val="003370D1"/>
    <w:rsid w:val="00340040"/>
    <w:rsid w:val="00340440"/>
    <w:rsid w:val="00340A87"/>
    <w:rsid w:val="00340F4C"/>
    <w:rsid w:val="00340FB3"/>
    <w:rsid w:val="003411F5"/>
    <w:rsid w:val="0034141A"/>
    <w:rsid w:val="003415E3"/>
    <w:rsid w:val="0034181F"/>
    <w:rsid w:val="003418D2"/>
    <w:rsid w:val="00341976"/>
    <w:rsid w:val="003419D1"/>
    <w:rsid w:val="00341ADC"/>
    <w:rsid w:val="00341EFB"/>
    <w:rsid w:val="003423C4"/>
    <w:rsid w:val="00342EAB"/>
    <w:rsid w:val="0034311C"/>
    <w:rsid w:val="00343174"/>
    <w:rsid w:val="0034381B"/>
    <w:rsid w:val="00343B7A"/>
    <w:rsid w:val="00343EE3"/>
    <w:rsid w:val="003446EF"/>
    <w:rsid w:val="00344F80"/>
    <w:rsid w:val="003450A9"/>
    <w:rsid w:val="003453F3"/>
    <w:rsid w:val="0034554F"/>
    <w:rsid w:val="00345BB7"/>
    <w:rsid w:val="00345EBA"/>
    <w:rsid w:val="0034600D"/>
    <w:rsid w:val="00346500"/>
    <w:rsid w:val="003467F3"/>
    <w:rsid w:val="003469F0"/>
    <w:rsid w:val="00346E79"/>
    <w:rsid w:val="003471AB"/>
    <w:rsid w:val="003503B1"/>
    <w:rsid w:val="00351083"/>
    <w:rsid w:val="003511DB"/>
    <w:rsid w:val="00351550"/>
    <w:rsid w:val="0035276C"/>
    <w:rsid w:val="00352836"/>
    <w:rsid w:val="00352975"/>
    <w:rsid w:val="00352B27"/>
    <w:rsid w:val="00352C61"/>
    <w:rsid w:val="003545DF"/>
    <w:rsid w:val="003547F2"/>
    <w:rsid w:val="00354A6E"/>
    <w:rsid w:val="00354B92"/>
    <w:rsid w:val="00355292"/>
    <w:rsid w:val="00355B58"/>
    <w:rsid w:val="00355C99"/>
    <w:rsid w:val="00355EEB"/>
    <w:rsid w:val="003561AA"/>
    <w:rsid w:val="003562F2"/>
    <w:rsid w:val="0035675F"/>
    <w:rsid w:val="00356865"/>
    <w:rsid w:val="00356887"/>
    <w:rsid w:val="00357550"/>
    <w:rsid w:val="00357859"/>
    <w:rsid w:val="0036080A"/>
    <w:rsid w:val="00360B0D"/>
    <w:rsid w:val="003613CA"/>
    <w:rsid w:val="00362258"/>
    <w:rsid w:val="00362496"/>
    <w:rsid w:val="00363F32"/>
    <w:rsid w:val="00364275"/>
    <w:rsid w:val="003646D2"/>
    <w:rsid w:val="0036499C"/>
    <w:rsid w:val="00364CF5"/>
    <w:rsid w:val="00364FB2"/>
    <w:rsid w:val="00364FF2"/>
    <w:rsid w:val="00365797"/>
    <w:rsid w:val="00365B03"/>
    <w:rsid w:val="00365E46"/>
    <w:rsid w:val="00365FFE"/>
    <w:rsid w:val="0036644C"/>
    <w:rsid w:val="00366E12"/>
    <w:rsid w:val="00367DBF"/>
    <w:rsid w:val="00370958"/>
    <w:rsid w:val="003711CE"/>
    <w:rsid w:val="003719C6"/>
    <w:rsid w:val="00371E37"/>
    <w:rsid w:val="003723CC"/>
    <w:rsid w:val="00372DA7"/>
    <w:rsid w:val="00372E99"/>
    <w:rsid w:val="00372EA0"/>
    <w:rsid w:val="00372EB8"/>
    <w:rsid w:val="00372FAB"/>
    <w:rsid w:val="0037313A"/>
    <w:rsid w:val="00373B97"/>
    <w:rsid w:val="003741BC"/>
    <w:rsid w:val="003753C1"/>
    <w:rsid w:val="00375722"/>
    <w:rsid w:val="00375B4D"/>
    <w:rsid w:val="0037632B"/>
    <w:rsid w:val="0037699F"/>
    <w:rsid w:val="00377316"/>
    <w:rsid w:val="003804EF"/>
    <w:rsid w:val="00380DE0"/>
    <w:rsid w:val="00381194"/>
    <w:rsid w:val="00381694"/>
    <w:rsid w:val="00381A68"/>
    <w:rsid w:val="00382101"/>
    <w:rsid w:val="0038228A"/>
    <w:rsid w:val="00382AB0"/>
    <w:rsid w:val="00382ECA"/>
    <w:rsid w:val="00383652"/>
    <w:rsid w:val="003837F8"/>
    <w:rsid w:val="0038386F"/>
    <w:rsid w:val="0038392A"/>
    <w:rsid w:val="00384023"/>
    <w:rsid w:val="00384738"/>
    <w:rsid w:val="00384D85"/>
    <w:rsid w:val="00385551"/>
    <w:rsid w:val="00385740"/>
    <w:rsid w:val="00385945"/>
    <w:rsid w:val="00386255"/>
    <w:rsid w:val="00386290"/>
    <w:rsid w:val="00386880"/>
    <w:rsid w:val="003868FF"/>
    <w:rsid w:val="00386C07"/>
    <w:rsid w:val="003872FC"/>
    <w:rsid w:val="003874F1"/>
    <w:rsid w:val="00387720"/>
    <w:rsid w:val="0038799C"/>
    <w:rsid w:val="00390516"/>
    <w:rsid w:val="00390B4D"/>
    <w:rsid w:val="00390BCF"/>
    <w:rsid w:val="00391CF9"/>
    <w:rsid w:val="00391D14"/>
    <w:rsid w:val="00391EAC"/>
    <w:rsid w:val="00392551"/>
    <w:rsid w:val="00392AE8"/>
    <w:rsid w:val="00392D99"/>
    <w:rsid w:val="00392EE3"/>
    <w:rsid w:val="0039326C"/>
    <w:rsid w:val="00393A76"/>
    <w:rsid w:val="00393E2B"/>
    <w:rsid w:val="00393E74"/>
    <w:rsid w:val="00394125"/>
    <w:rsid w:val="00394E9C"/>
    <w:rsid w:val="00394F18"/>
    <w:rsid w:val="00395C1C"/>
    <w:rsid w:val="00395E5F"/>
    <w:rsid w:val="003966CA"/>
    <w:rsid w:val="00396AB1"/>
    <w:rsid w:val="00396D99"/>
    <w:rsid w:val="00396EFB"/>
    <w:rsid w:val="00397B8C"/>
    <w:rsid w:val="003A05CB"/>
    <w:rsid w:val="003A08C9"/>
    <w:rsid w:val="003A1135"/>
    <w:rsid w:val="003A15B6"/>
    <w:rsid w:val="003A185F"/>
    <w:rsid w:val="003A1F0C"/>
    <w:rsid w:val="003A2517"/>
    <w:rsid w:val="003A2A1D"/>
    <w:rsid w:val="003A6767"/>
    <w:rsid w:val="003A67E1"/>
    <w:rsid w:val="003A6B9C"/>
    <w:rsid w:val="003A6FEC"/>
    <w:rsid w:val="003A70C6"/>
    <w:rsid w:val="003A740F"/>
    <w:rsid w:val="003A79A4"/>
    <w:rsid w:val="003A7DAA"/>
    <w:rsid w:val="003A7FC5"/>
    <w:rsid w:val="003B044D"/>
    <w:rsid w:val="003B0E0C"/>
    <w:rsid w:val="003B178D"/>
    <w:rsid w:val="003B1862"/>
    <w:rsid w:val="003B1E6A"/>
    <w:rsid w:val="003B2EBA"/>
    <w:rsid w:val="003B2FF1"/>
    <w:rsid w:val="003B3120"/>
    <w:rsid w:val="003B3295"/>
    <w:rsid w:val="003B4ABE"/>
    <w:rsid w:val="003B4EB2"/>
    <w:rsid w:val="003B4EE5"/>
    <w:rsid w:val="003B5901"/>
    <w:rsid w:val="003B5BFA"/>
    <w:rsid w:val="003B5FE4"/>
    <w:rsid w:val="003B6261"/>
    <w:rsid w:val="003B6322"/>
    <w:rsid w:val="003B6E0D"/>
    <w:rsid w:val="003B6E79"/>
    <w:rsid w:val="003B762B"/>
    <w:rsid w:val="003B7AA5"/>
    <w:rsid w:val="003C0617"/>
    <w:rsid w:val="003C068B"/>
    <w:rsid w:val="003C0FFC"/>
    <w:rsid w:val="003C10A2"/>
    <w:rsid w:val="003C17ED"/>
    <w:rsid w:val="003C1B30"/>
    <w:rsid w:val="003C21ED"/>
    <w:rsid w:val="003C227B"/>
    <w:rsid w:val="003C2420"/>
    <w:rsid w:val="003C302E"/>
    <w:rsid w:val="003C355A"/>
    <w:rsid w:val="003C3698"/>
    <w:rsid w:val="003C3A4E"/>
    <w:rsid w:val="003C3D6F"/>
    <w:rsid w:val="003C3F38"/>
    <w:rsid w:val="003C3FB5"/>
    <w:rsid w:val="003C532E"/>
    <w:rsid w:val="003C55B4"/>
    <w:rsid w:val="003C56E7"/>
    <w:rsid w:val="003C5D9D"/>
    <w:rsid w:val="003C6348"/>
    <w:rsid w:val="003C63F9"/>
    <w:rsid w:val="003C705F"/>
    <w:rsid w:val="003C7E1B"/>
    <w:rsid w:val="003C7F45"/>
    <w:rsid w:val="003D0662"/>
    <w:rsid w:val="003D07E4"/>
    <w:rsid w:val="003D0FB4"/>
    <w:rsid w:val="003D11E3"/>
    <w:rsid w:val="003D220E"/>
    <w:rsid w:val="003D23C5"/>
    <w:rsid w:val="003D289E"/>
    <w:rsid w:val="003D2B84"/>
    <w:rsid w:val="003D3217"/>
    <w:rsid w:val="003D3BB1"/>
    <w:rsid w:val="003D3F3A"/>
    <w:rsid w:val="003D3F75"/>
    <w:rsid w:val="003D4D89"/>
    <w:rsid w:val="003D52D3"/>
    <w:rsid w:val="003D57EE"/>
    <w:rsid w:val="003D58C1"/>
    <w:rsid w:val="003D59FE"/>
    <w:rsid w:val="003D6064"/>
    <w:rsid w:val="003D62EE"/>
    <w:rsid w:val="003D7670"/>
    <w:rsid w:val="003D7EA0"/>
    <w:rsid w:val="003E00FA"/>
    <w:rsid w:val="003E01B1"/>
    <w:rsid w:val="003E0861"/>
    <w:rsid w:val="003E0B7E"/>
    <w:rsid w:val="003E0FA6"/>
    <w:rsid w:val="003E1788"/>
    <w:rsid w:val="003E17BF"/>
    <w:rsid w:val="003E1E5B"/>
    <w:rsid w:val="003E257B"/>
    <w:rsid w:val="003E2D2A"/>
    <w:rsid w:val="003E4225"/>
    <w:rsid w:val="003E4B4E"/>
    <w:rsid w:val="003E4DC7"/>
    <w:rsid w:val="003E5B15"/>
    <w:rsid w:val="003E6DD4"/>
    <w:rsid w:val="003E6E4F"/>
    <w:rsid w:val="003E7086"/>
    <w:rsid w:val="003E7815"/>
    <w:rsid w:val="003F0003"/>
    <w:rsid w:val="003F0007"/>
    <w:rsid w:val="003F0066"/>
    <w:rsid w:val="003F04E6"/>
    <w:rsid w:val="003F05CF"/>
    <w:rsid w:val="003F1241"/>
    <w:rsid w:val="003F1856"/>
    <w:rsid w:val="003F1F9A"/>
    <w:rsid w:val="003F20C5"/>
    <w:rsid w:val="003F2739"/>
    <w:rsid w:val="003F2D09"/>
    <w:rsid w:val="003F2F37"/>
    <w:rsid w:val="003F2FCC"/>
    <w:rsid w:val="003F3485"/>
    <w:rsid w:val="003F3E90"/>
    <w:rsid w:val="003F4DFF"/>
    <w:rsid w:val="003F5070"/>
    <w:rsid w:val="003F5155"/>
    <w:rsid w:val="003F5401"/>
    <w:rsid w:val="003F550B"/>
    <w:rsid w:val="003F61FF"/>
    <w:rsid w:val="003F75C7"/>
    <w:rsid w:val="003F79FD"/>
    <w:rsid w:val="00400127"/>
    <w:rsid w:val="00400200"/>
    <w:rsid w:val="004006AD"/>
    <w:rsid w:val="0040079C"/>
    <w:rsid w:val="004010F0"/>
    <w:rsid w:val="00401699"/>
    <w:rsid w:val="0040197B"/>
    <w:rsid w:val="00402261"/>
    <w:rsid w:val="00402C66"/>
    <w:rsid w:val="00402F1A"/>
    <w:rsid w:val="004032BA"/>
    <w:rsid w:val="0040367A"/>
    <w:rsid w:val="0040383F"/>
    <w:rsid w:val="0040409E"/>
    <w:rsid w:val="004047AF"/>
    <w:rsid w:val="00404DBF"/>
    <w:rsid w:val="0040588F"/>
    <w:rsid w:val="00405AE9"/>
    <w:rsid w:val="0040612D"/>
    <w:rsid w:val="00406712"/>
    <w:rsid w:val="0040686A"/>
    <w:rsid w:val="00407071"/>
    <w:rsid w:val="004073D6"/>
    <w:rsid w:val="0040753B"/>
    <w:rsid w:val="004079AE"/>
    <w:rsid w:val="00407C6D"/>
    <w:rsid w:val="00407F40"/>
    <w:rsid w:val="0041065C"/>
    <w:rsid w:val="00410740"/>
    <w:rsid w:val="00410A5B"/>
    <w:rsid w:val="00410B9D"/>
    <w:rsid w:val="0041154D"/>
    <w:rsid w:val="00411D43"/>
    <w:rsid w:val="00412459"/>
    <w:rsid w:val="00412B23"/>
    <w:rsid w:val="00412B67"/>
    <w:rsid w:val="00412CAE"/>
    <w:rsid w:val="00412CC2"/>
    <w:rsid w:val="004138D2"/>
    <w:rsid w:val="00413A88"/>
    <w:rsid w:val="00413AB6"/>
    <w:rsid w:val="00413DFD"/>
    <w:rsid w:val="00413E01"/>
    <w:rsid w:val="00414226"/>
    <w:rsid w:val="00414330"/>
    <w:rsid w:val="00414961"/>
    <w:rsid w:val="004152D6"/>
    <w:rsid w:val="004159AD"/>
    <w:rsid w:val="00416018"/>
    <w:rsid w:val="00416A39"/>
    <w:rsid w:val="00416E9F"/>
    <w:rsid w:val="004207E5"/>
    <w:rsid w:val="00420B7D"/>
    <w:rsid w:val="004212A9"/>
    <w:rsid w:val="00421966"/>
    <w:rsid w:val="00421E9F"/>
    <w:rsid w:val="00423347"/>
    <w:rsid w:val="004234C7"/>
    <w:rsid w:val="004235AB"/>
    <w:rsid w:val="00424AA2"/>
    <w:rsid w:val="00424B7C"/>
    <w:rsid w:val="00424EA4"/>
    <w:rsid w:val="00425414"/>
    <w:rsid w:val="00427001"/>
    <w:rsid w:val="004302D7"/>
    <w:rsid w:val="0043172F"/>
    <w:rsid w:val="00431BE4"/>
    <w:rsid w:val="00432505"/>
    <w:rsid w:val="00433C1D"/>
    <w:rsid w:val="00435791"/>
    <w:rsid w:val="00435F12"/>
    <w:rsid w:val="004360BF"/>
    <w:rsid w:val="00436ABE"/>
    <w:rsid w:val="00437026"/>
    <w:rsid w:val="00437105"/>
    <w:rsid w:val="0043731B"/>
    <w:rsid w:val="00437C05"/>
    <w:rsid w:val="0044049F"/>
    <w:rsid w:val="004404E8"/>
    <w:rsid w:val="00440CAA"/>
    <w:rsid w:val="00440FC0"/>
    <w:rsid w:val="00441C00"/>
    <w:rsid w:val="00441C76"/>
    <w:rsid w:val="00442AF7"/>
    <w:rsid w:val="00442FD2"/>
    <w:rsid w:val="00443520"/>
    <w:rsid w:val="004436CE"/>
    <w:rsid w:val="00443E1F"/>
    <w:rsid w:val="004440D1"/>
    <w:rsid w:val="004443EA"/>
    <w:rsid w:val="00444626"/>
    <w:rsid w:val="00444AA7"/>
    <w:rsid w:val="00445045"/>
    <w:rsid w:val="004451F7"/>
    <w:rsid w:val="00445392"/>
    <w:rsid w:val="00445DAC"/>
    <w:rsid w:val="0044614C"/>
    <w:rsid w:val="004462C2"/>
    <w:rsid w:val="00446333"/>
    <w:rsid w:val="004464A0"/>
    <w:rsid w:val="004475CA"/>
    <w:rsid w:val="00447C7F"/>
    <w:rsid w:val="00450089"/>
    <w:rsid w:val="00450503"/>
    <w:rsid w:val="004510B6"/>
    <w:rsid w:val="004511EC"/>
    <w:rsid w:val="004512E6"/>
    <w:rsid w:val="00451545"/>
    <w:rsid w:val="00451AA4"/>
    <w:rsid w:val="00452350"/>
    <w:rsid w:val="00453CD9"/>
    <w:rsid w:val="00453DC8"/>
    <w:rsid w:val="00455788"/>
    <w:rsid w:val="00455A28"/>
    <w:rsid w:val="00455D01"/>
    <w:rsid w:val="00455F50"/>
    <w:rsid w:val="00457164"/>
    <w:rsid w:val="004572DC"/>
    <w:rsid w:val="00457A87"/>
    <w:rsid w:val="00460119"/>
    <w:rsid w:val="0046017C"/>
    <w:rsid w:val="00460498"/>
    <w:rsid w:val="00460B0D"/>
    <w:rsid w:val="004613F3"/>
    <w:rsid w:val="00461812"/>
    <w:rsid w:val="004618A4"/>
    <w:rsid w:val="00461BCC"/>
    <w:rsid w:val="00461E9A"/>
    <w:rsid w:val="0046242A"/>
    <w:rsid w:val="004634B9"/>
    <w:rsid w:val="004635AA"/>
    <w:rsid w:val="00463963"/>
    <w:rsid w:val="00463C69"/>
    <w:rsid w:val="00463FC9"/>
    <w:rsid w:val="00465F5F"/>
    <w:rsid w:val="0046678B"/>
    <w:rsid w:val="00466BFF"/>
    <w:rsid w:val="00467330"/>
    <w:rsid w:val="004673F9"/>
    <w:rsid w:val="0046788A"/>
    <w:rsid w:val="00467AB6"/>
    <w:rsid w:val="0047021D"/>
    <w:rsid w:val="00470B28"/>
    <w:rsid w:val="00470CCE"/>
    <w:rsid w:val="004715F1"/>
    <w:rsid w:val="00471DDB"/>
    <w:rsid w:val="004723E4"/>
    <w:rsid w:val="004726DE"/>
    <w:rsid w:val="00472949"/>
    <w:rsid w:val="00472D1C"/>
    <w:rsid w:val="00473576"/>
    <w:rsid w:val="00473CC9"/>
    <w:rsid w:val="004745EE"/>
    <w:rsid w:val="00474BFC"/>
    <w:rsid w:val="00474CD7"/>
    <w:rsid w:val="00474E3E"/>
    <w:rsid w:val="004753F5"/>
    <w:rsid w:val="00476025"/>
    <w:rsid w:val="0047625D"/>
    <w:rsid w:val="00477368"/>
    <w:rsid w:val="0047799B"/>
    <w:rsid w:val="00477D56"/>
    <w:rsid w:val="0048043D"/>
    <w:rsid w:val="00480ACE"/>
    <w:rsid w:val="00480C7A"/>
    <w:rsid w:val="00480D18"/>
    <w:rsid w:val="00480D82"/>
    <w:rsid w:val="00481550"/>
    <w:rsid w:val="00481747"/>
    <w:rsid w:val="00481E60"/>
    <w:rsid w:val="004824B2"/>
    <w:rsid w:val="004827CF"/>
    <w:rsid w:val="00482C84"/>
    <w:rsid w:val="00482FCE"/>
    <w:rsid w:val="004832DE"/>
    <w:rsid w:val="004835F5"/>
    <w:rsid w:val="004840FA"/>
    <w:rsid w:val="004843F2"/>
    <w:rsid w:val="00484495"/>
    <w:rsid w:val="00484504"/>
    <w:rsid w:val="00484EA1"/>
    <w:rsid w:val="00485D3D"/>
    <w:rsid w:val="00486303"/>
    <w:rsid w:val="00486BC3"/>
    <w:rsid w:val="00486DC0"/>
    <w:rsid w:val="00487ED0"/>
    <w:rsid w:val="00490282"/>
    <w:rsid w:val="004908DF"/>
    <w:rsid w:val="00490B47"/>
    <w:rsid w:val="0049109F"/>
    <w:rsid w:val="00491458"/>
    <w:rsid w:val="004918F4"/>
    <w:rsid w:val="00491BB3"/>
    <w:rsid w:val="004920F1"/>
    <w:rsid w:val="00492D33"/>
    <w:rsid w:val="00492EF5"/>
    <w:rsid w:val="0049319D"/>
    <w:rsid w:val="00493757"/>
    <w:rsid w:val="00494388"/>
    <w:rsid w:val="00494A0C"/>
    <w:rsid w:val="0049549F"/>
    <w:rsid w:val="004954FF"/>
    <w:rsid w:val="00495520"/>
    <w:rsid w:val="00495688"/>
    <w:rsid w:val="00495789"/>
    <w:rsid w:val="00495863"/>
    <w:rsid w:val="004958EA"/>
    <w:rsid w:val="00496200"/>
    <w:rsid w:val="00496D1C"/>
    <w:rsid w:val="00496FAB"/>
    <w:rsid w:val="004977C0"/>
    <w:rsid w:val="00497E75"/>
    <w:rsid w:val="00497E83"/>
    <w:rsid w:val="004A075E"/>
    <w:rsid w:val="004A0C2D"/>
    <w:rsid w:val="004A0D20"/>
    <w:rsid w:val="004A10D2"/>
    <w:rsid w:val="004A10DE"/>
    <w:rsid w:val="004A12FB"/>
    <w:rsid w:val="004A137E"/>
    <w:rsid w:val="004A150A"/>
    <w:rsid w:val="004A2249"/>
    <w:rsid w:val="004A23B2"/>
    <w:rsid w:val="004A253B"/>
    <w:rsid w:val="004A2C62"/>
    <w:rsid w:val="004A2CD5"/>
    <w:rsid w:val="004A2D47"/>
    <w:rsid w:val="004A3344"/>
    <w:rsid w:val="004A3468"/>
    <w:rsid w:val="004A3915"/>
    <w:rsid w:val="004A3FDB"/>
    <w:rsid w:val="004A4800"/>
    <w:rsid w:val="004A52E7"/>
    <w:rsid w:val="004A55C2"/>
    <w:rsid w:val="004A58F6"/>
    <w:rsid w:val="004A5B65"/>
    <w:rsid w:val="004A5E36"/>
    <w:rsid w:val="004A670D"/>
    <w:rsid w:val="004A6771"/>
    <w:rsid w:val="004A7344"/>
    <w:rsid w:val="004A7399"/>
    <w:rsid w:val="004A749F"/>
    <w:rsid w:val="004A7F72"/>
    <w:rsid w:val="004A7FC5"/>
    <w:rsid w:val="004B0371"/>
    <w:rsid w:val="004B0727"/>
    <w:rsid w:val="004B2A6B"/>
    <w:rsid w:val="004B3E20"/>
    <w:rsid w:val="004B431D"/>
    <w:rsid w:val="004B4932"/>
    <w:rsid w:val="004B599E"/>
    <w:rsid w:val="004B59F0"/>
    <w:rsid w:val="004B5D98"/>
    <w:rsid w:val="004B5E32"/>
    <w:rsid w:val="004B5EB0"/>
    <w:rsid w:val="004B7479"/>
    <w:rsid w:val="004B76BC"/>
    <w:rsid w:val="004B7F29"/>
    <w:rsid w:val="004BC194"/>
    <w:rsid w:val="004C0264"/>
    <w:rsid w:val="004C0536"/>
    <w:rsid w:val="004C06D7"/>
    <w:rsid w:val="004C077D"/>
    <w:rsid w:val="004C0BFA"/>
    <w:rsid w:val="004C0F24"/>
    <w:rsid w:val="004C1449"/>
    <w:rsid w:val="004C19D9"/>
    <w:rsid w:val="004C2C42"/>
    <w:rsid w:val="004C2F4B"/>
    <w:rsid w:val="004C31A8"/>
    <w:rsid w:val="004C32F6"/>
    <w:rsid w:val="004C35A6"/>
    <w:rsid w:val="004C3B22"/>
    <w:rsid w:val="004C43BF"/>
    <w:rsid w:val="004C4658"/>
    <w:rsid w:val="004C4C93"/>
    <w:rsid w:val="004C50FA"/>
    <w:rsid w:val="004C529B"/>
    <w:rsid w:val="004C57EE"/>
    <w:rsid w:val="004C6329"/>
    <w:rsid w:val="004C66B7"/>
    <w:rsid w:val="004C674B"/>
    <w:rsid w:val="004C6993"/>
    <w:rsid w:val="004C6ADA"/>
    <w:rsid w:val="004C6C0F"/>
    <w:rsid w:val="004C77F8"/>
    <w:rsid w:val="004C79A8"/>
    <w:rsid w:val="004D01B3"/>
    <w:rsid w:val="004D078C"/>
    <w:rsid w:val="004D10F2"/>
    <w:rsid w:val="004D10F4"/>
    <w:rsid w:val="004D1A05"/>
    <w:rsid w:val="004D2063"/>
    <w:rsid w:val="004D235B"/>
    <w:rsid w:val="004D23A1"/>
    <w:rsid w:val="004D2833"/>
    <w:rsid w:val="004D2D3E"/>
    <w:rsid w:val="004D2E82"/>
    <w:rsid w:val="004D3589"/>
    <w:rsid w:val="004D3BA3"/>
    <w:rsid w:val="004D4077"/>
    <w:rsid w:val="004D4452"/>
    <w:rsid w:val="004D477C"/>
    <w:rsid w:val="004D48A4"/>
    <w:rsid w:val="004D4A3E"/>
    <w:rsid w:val="004D4A72"/>
    <w:rsid w:val="004D4C48"/>
    <w:rsid w:val="004D5192"/>
    <w:rsid w:val="004D56D7"/>
    <w:rsid w:val="004D5BBA"/>
    <w:rsid w:val="004D6046"/>
    <w:rsid w:val="004D65C2"/>
    <w:rsid w:val="004D683A"/>
    <w:rsid w:val="004D768B"/>
    <w:rsid w:val="004D7EC7"/>
    <w:rsid w:val="004E00D1"/>
    <w:rsid w:val="004E091E"/>
    <w:rsid w:val="004E0D6C"/>
    <w:rsid w:val="004E1125"/>
    <w:rsid w:val="004E1572"/>
    <w:rsid w:val="004E1931"/>
    <w:rsid w:val="004E19BA"/>
    <w:rsid w:val="004E1F09"/>
    <w:rsid w:val="004E24BD"/>
    <w:rsid w:val="004E2880"/>
    <w:rsid w:val="004E2C82"/>
    <w:rsid w:val="004E2F8C"/>
    <w:rsid w:val="004E3113"/>
    <w:rsid w:val="004E335C"/>
    <w:rsid w:val="004E3512"/>
    <w:rsid w:val="004E3ECB"/>
    <w:rsid w:val="004E4206"/>
    <w:rsid w:val="004E432A"/>
    <w:rsid w:val="004E4845"/>
    <w:rsid w:val="004E489A"/>
    <w:rsid w:val="004E4B2B"/>
    <w:rsid w:val="004E4BFC"/>
    <w:rsid w:val="004E603F"/>
    <w:rsid w:val="004E6163"/>
    <w:rsid w:val="004E62BE"/>
    <w:rsid w:val="004E6D16"/>
    <w:rsid w:val="004E6DC4"/>
    <w:rsid w:val="004E738C"/>
    <w:rsid w:val="004F0044"/>
    <w:rsid w:val="004F01FD"/>
    <w:rsid w:val="004F07A3"/>
    <w:rsid w:val="004F0A8B"/>
    <w:rsid w:val="004F0C2E"/>
    <w:rsid w:val="004F0ED7"/>
    <w:rsid w:val="004F0F8E"/>
    <w:rsid w:val="004F280C"/>
    <w:rsid w:val="004F2AE5"/>
    <w:rsid w:val="004F327E"/>
    <w:rsid w:val="004F3BD2"/>
    <w:rsid w:val="004F41B0"/>
    <w:rsid w:val="004F4372"/>
    <w:rsid w:val="004F4F96"/>
    <w:rsid w:val="004F558D"/>
    <w:rsid w:val="004F590D"/>
    <w:rsid w:val="004F5CBB"/>
    <w:rsid w:val="004F699D"/>
    <w:rsid w:val="004F6B58"/>
    <w:rsid w:val="004F71A7"/>
    <w:rsid w:val="004F74F4"/>
    <w:rsid w:val="004F7952"/>
    <w:rsid w:val="004F7BA7"/>
    <w:rsid w:val="004F7F27"/>
    <w:rsid w:val="005001B6"/>
    <w:rsid w:val="005002AC"/>
    <w:rsid w:val="005005F8"/>
    <w:rsid w:val="005010C4"/>
    <w:rsid w:val="0050181E"/>
    <w:rsid w:val="0050261C"/>
    <w:rsid w:val="00502906"/>
    <w:rsid w:val="00502C93"/>
    <w:rsid w:val="00502DC0"/>
    <w:rsid w:val="00502F2E"/>
    <w:rsid w:val="00503435"/>
    <w:rsid w:val="00503567"/>
    <w:rsid w:val="005035B5"/>
    <w:rsid w:val="00503E41"/>
    <w:rsid w:val="005040CD"/>
    <w:rsid w:val="005047E9"/>
    <w:rsid w:val="0050508C"/>
    <w:rsid w:val="00505248"/>
    <w:rsid w:val="00505353"/>
    <w:rsid w:val="005054B8"/>
    <w:rsid w:val="005059B3"/>
    <w:rsid w:val="005066D7"/>
    <w:rsid w:val="00506B9A"/>
    <w:rsid w:val="00506BD9"/>
    <w:rsid w:val="0050700D"/>
    <w:rsid w:val="0050734C"/>
    <w:rsid w:val="00507664"/>
    <w:rsid w:val="005077C3"/>
    <w:rsid w:val="00510239"/>
    <w:rsid w:val="005102A7"/>
    <w:rsid w:val="0051089A"/>
    <w:rsid w:val="00510E83"/>
    <w:rsid w:val="00510FED"/>
    <w:rsid w:val="005113AA"/>
    <w:rsid w:val="0051143C"/>
    <w:rsid w:val="0051214B"/>
    <w:rsid w:val="00512A72"/>
    <w:rsid w:val="00513444"/>
    <w:rsid w:val="005134D1"/>
    <w:rsid w:val="00513E31"/>
    <w:rsid w:val="00513EDC"/>
    <w:rsid w:val="00514651"/>
    <w:rsid w:val="0051528F"/>
    <w:rsid w:val="005153CF"/>
    <w:rsid w:val="005158A6"/>
    <w:rsid w:val="00515ACE"/>
    <w:rsid w:val="00515B61"/>
    <w:rsid w:val="00515C7E"/>
    <w:rsid w:val="005165AA"/>
    <w:rsid w:val="005165BD"/>
    <w:rsid w:val="00516B03"/>
    <w:rsid w:val="0051709A"/>
    <w:rsid w:val="0051713E"/>
    <w:rsid w:val="00517A0D"/>
    <w:rsid w:val="00517C00"/>
    <w:rsid w:val="005203E9"/>
    <w:rsid w:val="00520744"/>
    <w:rsid w:val="00521341"/>
    <w:rsid w:val="005213EA"/>
    <w:rsid w:val="0052171C"/>
    <w:rsid w:val="005217F0"/>
    <w:rsid w:val="005228BF"/>
    <w:rsid w:val="00523C7D"/>
    <w:rsid w:val="00523F3D"/>
    <w:rsid w:val="005242DF"/>
    <w:rsid w:val="00524BF5"/>
    <w:rsid w:val="0052664D"/>
    <w:rsid w:val="005309CF"/>
    <w:rsid w:val="00530B3D"/>
    <w:rsid w:val="0053191B"/>
    <w:rsid w:val="00531DC1"/>
    <w:rsid w:val="00532559"/>
    <w:rsid w:val="00532D79"/>
    <w:rsid w:val="0053334A"/>
    <w:rsid w:val="00533717"/>
    <w:rsid w:val="00533786"/>
    <w:rsid w:val="0053430D"/>
    <w:rsid w:val="00534A54"/>
    <w:rsid w:val="005360B7"/>
    <w:rsid w:val="005363DD"/>
    <w:rsid w:val="00537FEA"/>
    <w:rsid w:val="005401DD"/>
    <w:rsid w:val="005405CE"/>
    <w:rsid w:val="00540E3C"/>
    <w:rsid w:val="00541562"/>
    <w:rsid w:val="005419A1"/>
    <w:rsid w:val="00541D9E"/>
    <w:rsid w:val="00541F8F"/>
    <w:rsid w:val="0054210F"/>
    <w:rsid w:val="00542250"/>
    <w:rsid w:val="005423BE"/>
    <w:rsid w:val="00543036"/>
    <w:rsid w:val="00544632"/>
    <w:rsid w:val="00544B09"/>
    <w:rsid w:val="00545764"/>
    <w:rsid w:val="00545AB9"/>
    <w:rsid w:val="00545F59"/>
    <w:rsid w:val="005460DA"/>
    <w:rsid w:val="00546412"/>
    <w:rsid w:val="00546F11"/>
    <w:rsid w:val="005472F0"/>
    <w:rsid w:val="00547701"/>
    <w:rsid w:val="00551783"/>
    <w:rsid w:val="0055198F"/>
    <w:rsid w:val="00551D21"/>
    <w:rsid w:val="005520B2"/>
    <w:rsid w:val="00552627"/>
    <w:rsid w:val="0055291C"/>
    <w:rsid w:val="005537B7"/>
    <w:rsid w:val="00553D4D"/>
    <w:rsid w:val="00553D63"/>
    <w:rsid w:val="00553EFF"/>
    <w:rsid w:val="00553F4C"/>
    <w:rsid w:val="00554144"/>
    <w:rsid w:val="005542A1"/>
    <w:rsid w:val="005544A0"/>
    <w:rsid w:val="00554761"/>
    <w:rsid w:val="00554EB5"/>
    <w:rsid w:val="005552AC"/>
    <w:rsid w:val="00555569"/>
    <w:rsid w:val="00555A6F"/>
    <w:rsid w:val="0055665A"/>
    <w:rsid w:val="00556937"/>
    <w:rsid w:val="00556EB0"/>
    <w:rsid w:val="00557AAE"/>
    <w:rsid w:val="00557B90"/>
    <w:rsid w:val="00561074"/>
    <w:rsid w:val="0056176C"/>
    <w:rsid w:val="00563263"/>
    <w:rsid w:val="00563906"/>
    <w:rsid w:val="00564420"/>
    <w:rsid w:val="00564533"/>
    <w:rsid w:val="00564BA8"/>
    <w:rsid w:val="00564E22"/>
    <w:rsid w:val="00565641"/>
    <w:rsid w:val="00565A56"/>
    <w:rsid w:val="00565FA0"/>
    <w:rsid w:val="005664B0"/>
    <w:rsid w:val="00566B16"/>
    <w:rsid w:val="005673FF"/>
    <w:rsid w:val="00567939"/>
    <w:rsid w:val="005701BF"/>
    <w:rsid w:val="005701FA"/>
    <w:rsid w:val="0057024C"/>
    <w:rsid w:val="005703C9"/>
    <w:rsid w:val="0057094F"/>
    <w:rsid w:val="00570C31"/>
    <w:rsid w:val="005710B1"/>
    <w:rsid w:val="005716EC"/>
    <w:rsid w:val="00571907"/>
    <w:rsid w:val="00572161"/>
    <w:rsid w:val="00572BD0"/>
    <w:rsid w:val="00572D44"/>
    <w:rsid w:val="00573007"/>
    <w:rsid w:val="00573792"/>
    <w:rsid w:val="00573A7E"/>
    <w:rsid w:val="00573AA6"/>
    <w:rsid w:val="00573CA0"/>
    <w:rsid w:val="00573EBE"/>
    <w:rsid w:val="00576BBB"/>
    <w:rsid w:val="005773C1"/>
    <w:rsid w:val="005776B2"/>
    <w:rsid w:val="0057EE2B"/>
    <w:rsid w:val="00580739"/>
    <w:rsid w:val="00581405"/>
    <w:rsid w:val="00581774"/>
    <w:rsid w:val="00582131"/>
    <w:rsid w:val="00582E72"/>
    <w:rsid w:val="0058300C"/>
    <w:rsid w:val="005831CF"/>
    <w:rsid w:val="005833F9"/>
    <w:rsid w:val="00583579"/>
    <w:rsid w:val="005837FD"/>
    <w:rsid w:val="005838FD"/>
    <w:rsid w:val="00583C8D"/>
    <w:rsid w:val="00584072"/>
    <w:rsid w:val="00584B89"/>
    <w:rsid w:val="00584F79"/>
    <w:rsid w:val="00585138"/>
    <w:rsid w:val="0058546D"/>
    <w:rsid w:val="005859C1"/>
    <w:rsid w:val="00585A33"/>
    <w:rsid w:val="00586C35"/>
    <w:rsid w:val="00587090"/>
    <w:rsid w:val="0058746E"/>
    <w:rsid w:val="00587579"/>
    <w:rsid w:val="005876BD"/>
    <w:rsid w:val="00587E24"/>
    <w:rsid w:val="00587FDB"/>
    <w:rsid w:val="0059039A"/>
    <w:rsid w:val="00590D8E"/>
    <w:rsid w:val="00591600"/>
    <w:rsid w:val="005922D3"/>
    <w:rsid w:val="00593422"/>
    <w:rsid w:val="0059435F"/>
    <w:rsid w:val="00594704"/>
    <w:rsid w:val="00594CBC"/>
    <w:rsid w:val="00594F44"/>
    <w:rsid w:val="0059505D"/>
    <w:rsid w:val="00595316"/>
    <w:rsid w:val="00595579"/>
    <w:rsid w:val="005956D4"/>
    <w:rsid w:val="00595C86"/>
    <w:rsid w:val="00596CE3"/>
    <w:rsid w:val="005A02F2"/>
    <w:rsid w:val="005A0586"/>
    <w:rsid w:val="005A0E41"/>
    <w:rsid w:val="005A13C6"/>
    <w:rsid w:val="005A1604"/>
    <w:rsid w:val="005A231C"/>
    <w:rsid w:val="005A276B"/>
    <w:rsid w:val="005A29E3"/>
    <w:rsid w:val="005A46CC"/>
    <w:rsid w:val="005A4B09"/>
    <w:rsid w:val="005A4C83"/>
    <w:rsid w:val="005A50C4"/>
    <w:rsid w:val="005A55C9"/>
    <w:rsid w:val="005A653C"/>
    <w:rsid w:val="005A6931"/>
    <w:rsid w:val="005A6C3E"/>
    <w:rsid w:val="005A75C5"/>
    <w:rsid w:val="005B0972"/>
    <w:rsid w:val="005B0A30"/>
    <w:rsid w:val="005B0AC1"/>
    <w:rsid w:val="005B0B6B"/>
    <w:rsid w:val="005B1493"/>
    <w:rsid w:val="005B1F8F"/>
    <w:rsid w:val="005B23F6"/>
    <w:rsid w:val="005B2704"/>
    <w:rsid w:val="005B2837"/>
    <w:rsid w:val="005B2C24"/>
    <w:rsid w:val="005B331E"/>
    <w:rsid w:val="005B34AB"/>
    <w:rsid w:val="005B468F"/>
    <w:rsid w:val="005B4B92"/>
    <w:rsid w:val="005B4C0A"/>
    <w:rsid w:val="005B5FCC"/>
    <w:rsid w:val="005B6569"/>
    <w:rsid w:val="005B6AE8"/>
    <w:rsid w:val="005B6F27"/>
    <w:rsid w:val="005B7057"/>
    <w:rsid w:val="005B7D27"/>
    <w:rsid w:val="005B7F9E"/>
    <w:rsid w:val="005C02A9"/>
    <w:rsid w:val="005C1356"/>
    <w:rsid w:val="005C1827"/>
    <w:rsid w:val="005C199E"/>
    <w:rsid w:val="005C19DC"/>
    <w:rsid w:val="005C1B62"/>
    <w:rsid w:val="005C20BA"/>
    <w:rsid w:val="005C34C9"/>
    <w:rsid w:val="005C458E"/>
    <w:rsid w:val="005C4E05"/>
    <w:rsid w:val="005C4E72"/>
    <w:rsid w:val="005C5A30"/>
    <w:rsid w:val="005C6357"/>
    <w:rsid w:val="005C662D"/>
    <w:rsid w:val="005C7474"/>
    <w:rsid w:val="005C76EE"/>
    <w:rsid w:val="005C7AF4"/>
    <w:rsid w:val="005D0DA1"/>
    <w:rsid w:val="005D0F09"/>
    <w:rsid w:val="005D1236"/>
    <w:rsid w:val="005D13BC"/>
    <w:rsid w:val="005D17C1"/>
    <w:rsid w:val="005D2EE9"/>
    <w:rsid w:val="005D32F8"/>
    <w:rsid w:val="005D3F03"/>
    <w:rsid w:val="005D3F81"/>
    <w:rsid w:val="005D408F"/>
    <w:rsid w:val="005D4589"/>
    <w:rsid w:val="005D4859"/>
    <w:rsid w:val="005D54C5"/>
    <w:rsid w:val="005D57ED"/>
    <w:rsid w:val="005D6678"/>
    <w:rsid w:val="005D6D40"/>
    <w:rsid w:val="005D6EB6"/>
    <w:rsid w:val="005D7770"/>
    <w:rsid w:val="005D79BD"/>
    <w:rsid w:val="005D7C04"/>
    <w:rsid w:val="005D7D99"/>
    <w:rsid w:val="005E00BB"/>
    <w:rsid w:val="005E01BB"/>
    <w:rsid w:val="005E0276"/>
    <w:rsid w:val="005E0DA0"/>
    <w:rsid w:val="005E0E16"/>
    <w:rsid w:val="005E0F29"/>
    <w:rsid w:val="005E1479"/>
    <w:rsid w:val="005E1D66"/>
    <w:rsid w:val="005E1E93"/>
    <w:rsid w:val="005E291F"/>
    <w:rsid w:val="005E2B5C"/>
    <w:rsid w:val="005E2CB0"/>
    <w:rsid w:val="005E339F"/>
    <w:rsid w:val="005E53FD"/>
    <w:rsid w:val="005E54CD"/>
    <w:rsid w:val="005E579A"/>
    <w:rsid w:val="005E6383"/>
    <w:rsid w:val="005E6CD4"/>
    <w:rsid w:val="005E72D5"/>
    <w:rsid w:val="005E7327"/>
    <w:rsid w:val="005E77FC"/>
    <w:rsid w:val="005E7B09"/>
    <w:rsid w:val="005F112B"/>
    <w:rsid w:val="005F16BB"/>
    <w:rsid w:val="005F16EB"/>
    <w:rsid w:val="005F1B6E"/>
    <w:rsid w:val="005F1C61"/>
    <w:rsid w:val="005F22E2"/>
    <w:rsid w:val="005F23A2"/>
    <w:rsid w:val="005F2723"/>
    <w:rsid w:val="005F2AF1"/>
    <w:rsid w:val="005F2E0F"/>
    <w:rsid w:val="005F2E2D"/>
    <w:rsid w:val="005F2EE1"/>
    <w:rsid w:val="005F2FDA"/>
    <w:rsid w:val="005F30EB"/>
    <w:rsid w:val="005F333B"/>
    <w:rsid w:val="005F341D"/>
    <w:rsid w:val="005F349A"/>
    <w:rsid w:val="005F4225"/>
    <w:rsid w:val="005F5591"/>
    <w:rsid w:val="005F57C0"/>
    <w:rsid w:val="005F6383"/>
    <w:rsid w:val="005F6829"/>
    <w:rsid w:val="005F687E"/>
    <w:rsid w:val="005F68A7"/>
    <w:rsid w:val="005F6E77"/>
    <w:rsid w:val="005F74BD"/>
    <w:rsid w:val="005F7BA0"/>
    <w:rsid w:val="006005AE"/>
    <w:rsid w:val="0060088E"/>
    <w:rsid w:val="00600F87"/>
    <w:rsid w:val="00602771"/>
    <w:rsid w:val="00602943"/>
    <w:rsid w:val="0060376A"/>
    <w:rsid w:val="00603EA0"/>
    <w:rsid w:val="006044C3"/>
    <w:rsid w:val="00604C0D"/>
    <w:rsid w:val="00605936"/>
    <w:rsid w:val="0060602E"/>
    <w:rsid w:val="006061CB"/>
    <w:rsid w:val="006063E6"/>
    <w:rsid w:val="006068E8"/>
    <w:rsid w:val="00606F17"/>
    <w:rsid w:val="006075CD"/>
    <w:rsid w:val="00607DAC"/>
    <w:rsid w:val="00607DB2"/>
    <w:rsid w:val="00610104"/>
    <w:rsid w:val="0061036B"/>
    <w:rsid w:val="00610B7B"/>
    <w:rsid w:val="00611419"/>
    <w:rsid w:val="006120BE"/>
    <w:rsid w:val="00612613"/>
    <w:rsid w:val="006129B8"/>
    <w:rsid w:val="00612ED6"/>
    <w:rsid w:val="0061300C"/>
    <w:rsid w:val="0061316A"/>
    <w:rsid w:val="0061363F"/>
    <w:rsid w:val="00613FDE"/>
    <w:rsid w:val="00615372"/>
    <w:rsid w:val="00615407"/>
    <w:rsid w:val="006157B6"/>
    <w:rsid w:val="00615B74"/>
    <w:rsid w:val="00615BE0"/>
    <w:rsid w:val="0061643D"/>
    <w:rsid w:val="006164E4"/>
    <w:rsid w:val="00616594"/>
    <w:rsid w:val="006168B9"/>
    <w:rsid w:val="006169E2"/>
    <w:rsid w:val="00616F3D"/>
    <w:rsid w:val="00617278"/>
    <w:rsid w:val="00617F4D"/>
    <w:rsid w:val="00620772"/>
    <w:rsid w:val="006209B7"/>
    <w:rsid w:val="0062148D"/>
    <w:rsid w:val="00622030"/>
    <w:rsid w:val="00622185"/>
    <w:rsid w:val="006226E2"/>
    <w:rsid w:val="006227C7"/>
    <w:rsid w:val="00622E60"/>
    <w:rsid w:val="00622F46"/>
    <w:rsid w:val="006230AD"/>
    <w:rsid w:val="006234A8"/>
    <w:rsid w:val="006239A9"/>
    <w:rsid w:val="00623BEA"/>
    <w:rsid w:val="00623DE9"/>
    <w:rsid w:val="00624936"/>
    <w:rsid w:val="00625637"/>
    <w:rsid w:val="00625BD7"/>
    <w:rsid w:val="00626031"/>
    <w:rsid w:val="00626527"/>
    <w:rsid w:val="00626639"/>
    <w:rsid w:val="006266EE"/>
    <w:rsid w:val="00626A98"/>
    <w:rsid w:val="006273A9"/>
    <w:rsid w:val="006300CE"/>
    <w:rsid w:val="00630686"/>
    <w:rsid w:val="0063073B"/>
    <w:rsid w:val="00630A13"/>
    <w:rsid w:val="00630ACB"/>
    <w:rsid w:val="00631D16"/>
    <w:rsid w:val="006321DB"/>
    <w:rsid w:val="00632E4B"/>
    <w:rsid w:val="00632FC8"/>
    <w:rsid w:val="0063316D"/>
    <w:rsid w:val="00633266"/>
    <w:rsid w:val="00633347"/>
    <w:rsid w:val="00633A6D"/>
    <w:rsid w:val="00633F57"/>
    <w:rsid w:val="00634954"/>
    <w:rsid w:val="00634993"/>
    <w:rsid w:val="00634C13"/>
    <w:rsid w:val="00634CA9"/>
    <w:rsid w:val="00634D76"/>
    <w:rsid w:val="006354EB"/>
    <w:rsid w:val="006355F1"/>
    <w:rsid w:val="00635F1C"/>
    <w:rsid w:val="00636CCF"/>
    <w:rsid w:val="00636DC6"/>
    <w:rsid w:val="006374D0"/>
    <w:rsid w:val="00640F85"/>
    <w:rsid w:val="006427C6"/>
    <w:rsid w:val="0064313E"/>
    <w:rsid w:val="00643410"/>
    <w:rsid w:val="00643C19"/>
    <w:rsid w:val="00645052"/>
    <w:rsid w:val="00645494"/>
    <w:rsid w:val="00645C22"/>
    <w:rsid w:val="00645CC8"/>
    <w:rsid w:val="0064635F"/>
    <w:rsid w:val="006463CD"/>
    <w:rsid w:val="006465BF"/>
    <w:rsid w:val="00646F2C"/>
    <w:rsid w:val="006470F4"/>
    <w:rsid w:val="0064729F"/>
    <w:rsid w:val="006473C2"/>
    <w:rsid w:val="00647684"/>
    <w:rsid w:val="006479C3"/>
    <w:rsid w:val="00647ACE"/>
    <w:rsid w:val="00650A63"/>
    <w:rsid w:val="00650DBF"/>
    <w:rsid w:val="00650E79"/>
    <w:rsid w:val="00650F77"/>
    <w:rsid w:val="00651596"/>
    <w:rsid w:val="00651981"/>
    <w:rsid w:val="00651CE3"/>
    <w:rsid w:val="006522BA"/>
    <w:rsid w:val="00652552"/>
    <w:rsid w:val="006525CD"/>
    <w:rsid w:val="006525CE"/>
    <w:rsid w:val="00652B42"/>
    <w:rsid w:val="006532C0"/>
    <w:rsid w:val="006535F0"/>
    <w:rsid w:val="00653C5D"/>
    <w:rsid w:val="00653C7E"/>
    <w:rsid w:val="00653EB0"/>
    <w:rsid w:val="00654D2E"/>
    <w:rsid w:val="00655307"/>
    <w:rsid w:val="00655CD0"/>
    <w:rsid w:val="0065632C"/>
    <w:rsid w:val="00656A6D"/>
    <w:rsid w:val="00656B8F"/>
    <w:rsid w:val="00657B0D"/>
    <w:rsid w:val="00660326"/>
    <w:rsid w:val="006605E0"/>
    <w:rsid w:val="00660CDE"/>
    <w:rsid w:val="00661610"/>
    <w:rsid w:val="00661973"/>
    <w:rsid w:val="00661C5A"/>
    <w:rsid w:val="006620F1"/>
    <w:rsid w:val="0066247F"/>
    <w:rsid w:val="0066254B"/>
    <w:rsid w:val="006625CC"/>
    <w:rsid w:val="006629BB"/>
    <w:rsid w:val="00662D1D"/>
    <w:rsid w:val="0066304C"/>
    <w:rsid w:val="00663223"/>
    <w:rsid w:val="006644F9"/>
    <w:rsid w:val="006645AB"/>
    <w:rsid w:val="0066474F"/>
    <w:rsid w:val="0066633C"/>
    <w:rsid w:val="006665E5"/>
    <w:rsid w:val="00666A0D"/>
    <w:rsid w:val="00666F76"/>
    <w:rsid w:val="00667312"/>
    <w:rsid w:val="00667753"/>
    <w:rsid w:val="00670CC7"/>
    <w:rsid w:val="006713A7"/>
    <w:rsid w:val="0067167D"/>
    <w:rsid w:val="0067269C"/>
    <w:rsid w:val="00672740"/>
    <w:rsid w:val="00673048"/>
    <w:rsid w:val="00673271"/>
    <w:rsid w:val="00673549"/>
    <w:rsid w:val="00673663"/>
    <w:rsid w:val="006738A0"/>
    <w:rsid w:val="00673B6E"/>
    <w:rsid w:val="00674B7C"/>
    <w:rsid w:val="00674BDB"/>
    <w:rsid w:val="00674FC4"/>
    <w:rsid w:val="00675112"/>
    <w:rsid w:val="0067585C"/>
    <w:rsid w:val="0067587B"/>
    <w:rsid w:val="00675DBD"/>
    <w:rsid w:val="00675E82"/>
    <w:rsid w:val="00676843"/>
    <w:rsid w:val="0067780B"/>
    <w:rsid w:val="00677C4D"/>
    <w:rsid w:val="00677E30"/>
    <w:rsid w:val="0067B3DC"/>
    <w:rsid w:val="00680087"/>
    <w:rsid w:val="006800A2"/>
    <w:rsid w:val="006803B1"/>
    <w:rsid w:val="00680AED"/>
    <w:rsid w:val="00680D8A"/>
    <w:rsid w:val="00680FDB"/>
    <w:rsid w:val="00681CEC"/>
    <w:rsid w:val="006829E5"/>
    <w:rsid w:val="0068344C"/>
    <w:rsid w:val="0068356E"/>
    <w:rsid w:val="0068375B"/>
    <w:rsid w:val="00683EE7"/>
    <w:rsid w:val="0068405C"/>
    <w:rsid w:val="00684088"/>
    <w:rsid w:val="006843FF"/>
    <w:rsid w:val="00684C1A"/>
    <w:rsid w:val="006861E7"/>
    <w:rsid w:val="00686286"/>
    <w:rsid w:val="00686C2E"/>
    <w:rsid w:val="00686E4B"/>
    <w:rsid w:val="0068727C"/>
    <w:rsid w:val="00687416"/>
    <w:rsid w:val="00687527"/>
    <w:rsid w:val="006878F7"/>
    <w:rsid w:val="00690A8B"/>
    <w:rsid w:val="0069112C"/>
    <w:rsid w:val="0069198D"/>
    <w:rsid w:val="0069199B"/>
    <w:rsid w:val="00692189"/>
    <w:rsid w:val="00692787"/>
    <w:rsid w:val="006928BA"/>
    <w:rsid w:val="00692CBD"/>
    <w:rsid w:val="00692D51"/>
    <w:rsid w:val="00693046"/>
    <w:rsid w:val="0069406F"/>
    <w:rsid w:val="00694702"/>
    <w:rsid w:val="00694D87"/>
    <w:rsid w:val="00694E72"/>
    <w:rsid w:val="00694E91"/>
    <w:rsid w:val="00695878"/>
    <w:rsid w:val="00696274"/>
    <w:rsid w:val="00696861"/>
    <w:rsid w:val="006973BA"/>
    <w:rsid w:val="006A0060"/>
    <w:rsid w:val="006A03D6"/>
    <w:rsid w:val="006A07EB"/>
    <w:rsid w:val="006A0F9C"/>
    <w:rsid w:val="006A1389"/>
    <w:rsid w:val="006A178F"/>
    <w:rsid w:val="006A17C5"/>
    <w:rsid w:val="006A1F86"/>
    <w:rsid w:val="006A28B5"/>
    <w:rsid w:val="006A291D"/>
    <w:rsid w:val="006A30F5"/>
    <w:rsid w:val="006A31F5"/>
    <w:rsid w:val="006A3FEC"/>
    <w:rsid w:val="006A4D8B"/>
    <w:rsid w:val="006A593A"/>
    <w:rsid w:val="006A5DE7"/>
    <w:rsid w:val="006A6765"/>
    <w:rsid w:val="006A769E"/>
    <w:rsid w:val="006B15F5"/>
    <w:rsid w:val="006B1D0A"/>
    <w:rsid w:val="006B1F13"/>
    <w:rsid w:val="006B2409"/>
    <w:rsid w:val="006B259B"/>
    <w:rsid w:val="006B28C9"/>
    <w:rsid w:val="006B3315"/>
    <w:rsid w:val="006B40DE"/>
    <w:rsid w:val="006B4915"/>
    <w:rsid w:val="006B4CC7"/>
    <w:rsid w:val="006B4D35"/>
    <w:rsid w:val="006B56B6"/>
    <w:rsid w:val="006B596E"/>
    <w:rsid w:val="006B5C36"/>
    <w:rsid w:val="006B6D41"/>
    <w:rsid w:val="006B6DC4"/>
    <w:rsid w:val="006B6DF4"/>
    <w:rsid w:val="006B7298"/>
    <w:rsid w:val="006B732B"/>
    <w:rsid w:val="006B74EC"/>
    <w:rsid w:val="006B76A2"/>
    <w:rsid w:val="006B7860"/>
    <w:rsid w:val="006B79A2"/>
    <w:rsid w:val="006B7D7F"/>
    <w:rsid w:val="006C06B5"/>
    <w:rsid w:val="006C0C77"/>
    <w:rsid w:val="006C0DD9"/>
    <w:rsid w:val="006C15C6"/>
    <w:rsid w:val="006C1A79"/>
    <w:rsid w:val="006C1D8C"/>
    <w:rsid w:val="006C2058"/>
    <w:rsid w:val="006C26B0"/>
    <w:rsid w:val="006C2AEC"/>
    <w:rsid w:val="006C2C5D"/>
    <w:rsid w:val="006C2ECE"/>
    <w:rsid w:val="006C3329"/>
    <w:rsid w:val="006C344E"/>
    <w:rsid w:val="006C435B"/>
    <w:rsid w:val="006C4466"/>
    <w:rsid w:val="006C5230"/>
    <w:rsid w:val="006C5747"/>
    <w:rsid w:val="006C5917"/>
    <w:rsid w:val="006C5D5A"/>
    <w:rsid w:val="006C6781"/>
    <w:rsid w:val="006C725D"/>
    <w:rsid w:val="006C75A0"/>
    <w:rsid w:val="006C789F"/>
    <w:rsid w:val="006C7BA3"/>
    <w:rsid w:val="006C7EC8"/>
    <w:rsid w:val="006D056C"/>
    <w:rsid w:val="006D08E6"/>
    <w:rsid w:val="006D0C99"/>
    <w:rsid w:val="006D1617"/>
    <w:rsid w:val="006D1B5F"/>
    <w:rsid w:val="006D1FF0"/>
    <w:rsid w:val="006D22D5"/>
    <w:rsid w:val="006D287E"/>
    <w:rsid w:val="006D3106"/>
    <w:rsid w:val="006D3202"/>
    <w:rsid w:val="006D3EA1"/>
    <w:rsid w:val="006D3F5D"/>
    <w:rsid w:val="006D405A"/>
    <w:rsid w:val="006D424F"/>
    <w:rsid w:val="006D46F4"/>
    <w:rsid w:val="006D4A6C"/>
    <w:rsid w:val="006D50AE"/>
    <w:rsid w:val="006D5221"/>
    <w:rsid w:val="006D55D5"/>
    <w:rsid w:val="006D602C"/>
    <w:rsid w:val="006D6110"/>
    <w:rsid w:val="006D62B6"/>
    <w:rsid w:val="006D73B7"/>
    <w:rsid w:val="006D73F8"/>
    <w:rsid w:val="006D7A13"/>
    <w:rsid w:val="006E0C6A"/>
    <w:rsid w:val="006E161E"/>
    <w:rsid w:val="006E17F9"/>
    <w:rsid w:val="006E1B79"/>
    <w:rsid w:val="006E20DC"/>
    <w:rsid w:val="006E210B"/>
    <w:rsid w:val="006E2113"/>
    <w:rsid w:val="006E2C28"/>
    <w:rsid w:val="006E2DBA"/>
    <w:rsid w:val="006E3083"/>
    <w:rsid w:val="006E3A85"/>
    <w:rsid w:val="006E5021"/>
    <w:rsid w:val="006E6764"/>
    <w:rsid w:val="006E6E4F"/>
    <w:rsid w:val="006E7ADC"/>
    <w:rsid w:val="006E7EF2"/>
    <w:rsid w:val="006F0263"/>
    <w:rsid w:val="006F178C"/>
    <w:rsid w:val="006F18A1"/>
    <w:rsid w:val="006F1D46"/>
    <w:rsid w:val="006F25E8"/>
    <w:rsid w:val="006F349A"/>
    <w:rsid w:val="006F46DC"/>
    <w:rsid w:val="006F4981"/>
    <w:rsid w:val="006F4E30"/>
    <w:rsid w:val="006F554D"/>
    <w:rsid w:val="006F607F"/>
    <w:rsid w:val="006F689B"/>
    <w:rsid w:val="006F739F"/>
    <w:rsid w:val="006F73DF"/>
    <w:rsid w:val="006F73EC"/>
    <w:rsid w:val="006F772C"/>
    <w:rsid w:val="006F776C"/>
    <w:rsid w:val="006F7A78"/>
    <w:rsid w:val="00700E8A"/>
    <w:rsid w:val="007010B1"/>
    <w:rsid w:val="0070142A"/>
    <w:rsid w:val="00701B0D"/>
    <w:rsid w:val="00701C3B"/>
    <w:rsid w:val="007024C9"/>
    <w:rsid w:val="00703056"/>
    <w:rsid w:val="007036E3"/>
    <w:rsid w:val="00703838"/>
    <w:rsid w:val="00704167"/>
    <w:rsid w:val="00704D9A"/>
    <w:rsid w:val="00705833"/>
    <w:rsid w:val="00705A06"/>
    <w:rsid w:val="00707665"/>
    <w:rsid w:val="0070799C"/>
    <w:rsid w:val="00710172"/>
    <w:rsid w:val="0071046D"/>
    <w:rsid w:val="007104B0"/>
    <w:rsid w:val="00710593"/>
    <w:rsid w:val="007105A3"/>
    <w:rsid w:val="00710E19"/>
    <w:rsid w:val="00710F2A"/>
    <w:rsid w:val="00710F5A"/>
    <w:rsid w:val="007111C1"/>
    <w:rsid w:val="0071125B"/>
    <w:rsid w:val="00711FB9"/>
    <w:rsid w:val="0071203D"/>
    <w:rsid w:val="007125E9"/>
    <w:rsid w:val="00712709"/>
    <w:rsid w:val="00713187"/>
    <w:rsid w:val="00713E22"/>
    <w:rsid w:val="00713FF3"/>
    <w:rsid w:val="007146EF"/>
    <w:rsid w:val="00714AF4"/>
    <w:rsid w:val="00714F30"/>
    <w:rsid w:val="00715598"/>
    <w:rsid w:val="00715EE5"/>
    <w:rsid w:val="00715F26"/>
    <w:rsid w:val="00716391"/>
    <w:rsid w:val="0071681F"/>
    <w:rsid w:val="00716D23"/>
    <w:rsid w:val="007177BC"/>
    <w:rsid w:val="00717FB2"/>
    <w:rsid w:val="007204C8"/>
    <w:rsid w:val="00721379"/>
    <w:rsid w:val="00721A71"/>
    <w:rsid w:val="00722011"/>
    <w:rsid w:val="007226C9"/>
    <w:rsid w:val="007228AF"/>
    <w:rsid w:val="007229C0"/>
    <w:rsid w:val="007239BD"/>
    <w:rsid w:val="007241B8"/>
    <w:rsid w:val="007245DB"/>
    <w:rsid w:val="00724920"/>
    <w:rsid w:val="007250A5"/>
    <w:rsid w:val="00725542"/>
    <w:rsid w:val="00725964"/>
    <w:rsid w:val="00725DD0"/>
    <w:rsid w:val="00725F2E"/>
    <w:rsid w:val="0072606C"/>
    <w:rsid w:val="00727836"/>
    <w:rsid w:val="00727CF8"/>
    <w:rsid w:val="00727E56"/>
    <w:rsid w:val="0073019A"/>
    <w:rsid w:val="007307D1"/>
    <w:rsid w:val="00730990"/>
    <w:rsid w:val="00730E3D"/>
    <w:rsid w:val="007321EE"/>
    <w:rsid w:val="00732B0F"/>
    <w:rsid w:val="0073368F"/>
    <w:rsid w:val="00733969"/>
    <w:rsid w:val="00734049"/>
    <w:rsid w:val="00734AE2"/>
    <w:rsid w:val="00734DB1"/>
    <w:rsid w:val="00734F2A"/>
    <w:rsid w:val="00734FD4"/>
    <w:rsid w:val="00736684"/>
    <w:rsid w:val="00737F70"/>
    <w:rsid w:val="00737FF9"/>
    <w:rsid w:val="00740446"/>
    <w:rsid w:val="00740875"/>
    <w:rsid w:val="00740B21"/>
    <w:rsid w:val="00741186"/>
    <w:rsid w:val="007413E6"/>
    <w:rsid w:val="0074170D"/>
    <w:rsid w:val="00741A4A"/>
    <w:rsid w:val="00742AA9"/>
    <w:rsid w:val="00742D83"/>
    <w:rsid w:val="007436BF"/>
    <w:rsid w:val="0074417C"/>
    <w:rsid w:val="00744453"/>
    <w:rsid w:val="00744744"/>
    <w:rsid w:val="0074496E"/>
    <w:rsid w:val="00744BE3"/>
    <w:rsid w:val="00745155"/>
    <w:rsid w:val="00745296"/>
    <w:rsid w:val="007455DA"/>
    <w:rsid w:val="0074572D"/>
    <w:rsid w:val="007459D3"/>
    <w:rsid w:val="007466FF"/>
    <w:rsid w:val="00746E26"/>
    <w:rsid w:val="0074747B"/>
    <w:rsid w:val="00747AF8"/>
    <w:rsid w:val="00747DE9"/>
    <w:rsid w:val="00747FF8"/>
    <w:rsid w:val="007504B4"/>
    <w:rsid w:val="00751157"/>
    <w:rsid w:val="007515DC"/>
    <w:rsid w:val="0075169B"/>
    <w:rsid w:val="007516C8"/>
    <w:rsid w:val="007535A2"/>
    <w:rsid w:val="007535E4"/>
    <w:rsid w:val="00753802"/>
    <w:rsid w:val="00753A47"/>
    <w:rsid w:val="00753B65"/>
    <w:rsid w:val="00753BCD"/>
    <w:rsid w:val="00753C39"/>
    <w:rsid w:val="0075406D"/>
    <w:rsid w:val="0075465B"/>
    <w:rsid w:val="00754B54"/>
    <w:rsid w:val="00754BC1"/>
    <w:rsid w:val="00754C01"/>
    <w:rsid w:val="00755A01"/>
    <w:rsid w:val="00755F16"/>
    <w:rsid w:val="0075712A"/>
    <w:rsid w:val="0075730A"/>
    <w:rsid w:val="0075757C"/>
    <w:rsid w:val="00757BAF"/>
    <w:rsid w:val="00757D9A"/>
    <w:rsid w:val="007603E6"/>
    <w:rsid w:val="007604C7"/>
    <w:rsid w:val="00760576"/>
    <w:rsid w:val="007608C9"/>
    <w:rsid w:val="00760E8F"/>
    <w:rsid w:val="007610C7"/>
    <w:rsid w:val="00761492"/>
    <w:rsid w:val="00761B21"/>
    <w:rsid w:val="00761BB4"/>
    <w:rsid w:val="00761EEF"/>
    <w:rsid w:val="00762535"/>
    <w:rsid w:val="00762B9A"/>
    <w:rsid w:val="00762BA6"/>
    <w:rsid w:val="00762F0C"/>
    <w:rsid w:val="007635E3"/>
    <w:rsid w:val="0076397B"/>
    <w:rsid w:val="007640D7"/>
    <w:rsid w:val="007647C6"/>
    <w:rsid w:val="0076521C"/>
    <w:rsid w:val="0076565C"/>
    <w:rsid w:val="0076599F"/>
    <w:rsid w:val="00765BAD"/>
    <w:rsid w:val="00766756"/>
    <w:rsid w:val="00767382"/>
    <w:rsid w:val="0076774D"/>
    <w:rsid w:val="00767C06"/>
    <w:rsid w:val="00767E11"/>
    <w:rsid w:val="00770347"/>
    <w:rsid w:val="007705FC"/>
    <w:rsid w:val="00771123"/>
    <w:rsid w:val="0077126C"/>
    <w:rsid w:val="00771637"/>
    <w:rsid w:val="00771E23"/>
    <w:rsid w:val="00771F73"/>
    <w:rsid w:val="00773184"/>
    <w:rsid w:val="00773292"/>
    <w:rsid w:val="00773592"/>
    <w:rsid w:val="00773AA1"/>
    <w:rsid w:val="00773C88"/>
    <w:rsid w:val="00774222"/>
    <w:rsid w:val="00774CCD"/>
    <w:rsid w:val="00775FE8"/>
    <w:rsid w:val="00776D76"/>
    <w:rsid w:val="00776FA1"/>
    <w:rsid w:val="00777B4F"/>
    <w:rsid w:val="00777DC0"/>
    <w:rsid w:val="007801A7"/>
    <w:rsid w:val="00780B31"/>
    <w:rsid w:val="00780F16"/>
    <w:rsid w:val="00780F2B"/>
    <w:rsid w:val="00780F7B"/>
    <w:rsid w:val="00780FE3"/>
    <w:rsid w:val="0078143C"/>
    <w:rsid w:val="007815B2"/>
    <w:rsid w:val="007838C1"/>
    <w:rsid w:val="00783D1E"/>
    <w:rsid w:val="00784AB4"/>
    <w:rsid w:val="00785901"/>
    <w:rsid w:val="00786289"/>
    <w:rsid w:val="00786384"/>
    <w:rsid w:val="007866E1"/>
    <w:rsid w:val="0078687D"/>
    <w:rsid w:val="007868F6"/>
    <w:rsid w:val="00786A97"/>
    <w:rsid w:val="00786CDC"/>
    <w:rsid w:val="00786E81"/>
    <w:rsid w:val="007871FF"/>
    <w:rsid w:val="00787429"/>
    <w:rsid w:val="00787CA6"/>
    <w:rsid w:val="00790065"/>
    <w:rsid w:val="007905DF"/>
    <w:rsid w:val="00790628"/>
    <w:rsid w:val="00791811"/>
    <w:rsid w:val="00791C8F"/>
    <w:rsid w:val="00791CB0"/>
    <w:rsid w:val="00791D87"/>
    <w:rsid w:val="00792400"/>
    <w:rsid w:val="00792B02"/>
    <w:rsid w:val="00793321"/>
    <w:rsid w:val="0079371D"/>
    <w:rsid w:val="00794022"/>
    <w:rsid w:val="007942FD"/>
    <w:rsid w:val="00794410"/>
    <w:rsid w:val="007949EF"/>
    <w:rsid w:val="0079523E"/>
    <w:rsid w:val="007952A2"/>
    <w:rsid w:val="007955A1"/>
    <w:rsid w:val="00795600"/>
    <w:rsid w:val="00795D23"/>
    <w:rsid w:val="00795D4E"/>
    <w:rsid w:val="00797559"/>
    <w:rsid w:val="007975FB"/>
    <w:rsid w:val="0079771D"/>
    <w:rsid w:val="0079772A"/>
    <w:rsid w:val="007A0489"/>
    <w:rsid w:val="007A0531"/>
    <w:rsid w:val="007A0E56"/>
    <w:rsid w:val="007A15BC"/>
    <w:rsid w:val="007A1A86"/>
    <w:rsid w:val="007A280B"/>
    <w:rsid w:val="007A39E6"/>
    <w:rsid w:val="007A42B1"/>
    <w:rsid w:val="007A4416"/>
    <w:rsid w:val="007A4503"/>
    <w:rsid w:val="007A52FB"/>
    <w:rsid w:val="007A5523"/>
    <w:rsid w:val="007A560A"/>
    <w:rsid w:val="007A5750"/>
    <w:rsid w:val="007A5C37"/>
    <w:rsid w:val="007A5E3D"/>
    <w:rsid w:val="007A65C0"/>
    <w:rsid w:val="007A68FC"/>
    <w:rsid w:val="007A6BD9"/>
    <w:rsid w:val="007B0457"/>
    <w:rsid w:val="007B1DB9"/>
    <w:rsid w:val="007B205D"/>
    <w:rsid w:val="007B24B0"/>
    <w:rsid w:val="007B2BC6"/>
    <w:rsid w:val="007B3069"/>
    <w:rsid w:val="007B30E4"/>
    <w:rsid w:val="007B3332"/>
    <w:rsid w:val="007B3A7D"/>
    <w:rsid w:val="007B3F2A"/>
    <w:rsid w:val="007B3F59"/>
    <w:rsid w:val="007B433C"/>
    <w:rsid w:val="007B434F"/>
    <w:rsid w:val="007B4712"/>
    <w:rsid w:val="007B54BA"/>
    <w:rsid w:val="007B5587"/>
    <w:rsid w:val="007B5D4B"/>
    <w:rsid w:val="007B64A1"/>
    <w:rsid w:val="007B64AE"/>
    <w:rsid w:val="007B64D4"/>
    <w:rsid w:val="007B675E"/>
    <w:rsid w:val="007B6CBC"/>
    <w:rsid w:val="007B7607"/>
    <w:rsid w:val="007B77EC"/>
    <w:rsid w:val="007B798C"/>
    <w:rsid w:val="007C0485"/>
    <w:rsid w:val="007C0524"/>
    <w:rsid w:val="007C0621"/>
    <w:rsid w:val="007C0FBC"/>
    <w:rsid w:val="007C1499"/>
    <w:rsid w:val="007C15EA"/>
    <w:rsid w:val="007C1711"/>
    <w:rsid w:val="007C1BAC"/>
    <w:rsid w:val="007C1D69"/>
    <w:rsid w:val="007C1EB1"/>
    <w:rsid w:val="007C202C"/>
    <w:rsid w:val="007C2B41"/>
    <w:rsid w:val="007C2BD7"/>
    <w:rsid w:val="007C2E68"/>
    <w:rsid w:val="007C2F13"/>
    <w:rsid w:val="007C3ABF"/>
    <w:rsid w:val="007C3E97"/>
    <w:rsid w:val="007C421C"/>
    <w:rsid w:val="007C43DB"/>
    <w:rsid w:val="007C4E02"/>
    <w:rsid w:val="007C5187"/>
    <w:rsid w:val="007C5756"/>
    <w:rsid w:val="007C5792"/>
    <w:rsid w:val="007C5CBB"/>
    <w:rsid w:val="007C6E6F"/>
    <w:rsid w:val="007C7065"/>
    <w:rsid w:val="007C769A"/>
    <w:rsid w:val="007D0208"/>
    <w:rsid w:val="007D041E"/>
    <w:rsid w:val="007D09B9"/>
    <w:rsid w:val="007D0E3C"/>
    <w:rsid w:val="007D1B90"/>
    <w:rsid w:val="007D1BED"/>
    <w:rsid w:val="007D1F74"/>
    <w:rsid w:val="007D236C"/>
    <w:rsid w:val="007D2E21"/>
    <w:rsid w:val="007D3CAD"/>
    <w:rsid w:val="007D5E17"/>
    <w:rsid w:val="007D6715"/>
    <w:rsid w:val="007D6B02"/>
    <w:rsid w:val="007D6DBE"/>
    <w:rsid w:val="007D75EA"/>
    <w:rsid w:val="007D7661"/>
    <w:rsid w:val="007E0228"/>
    <w:rsid w:val="007E0DBB"/>
    <w:rsid w:val="007E125E"/>
    <w:rsid w:val="007E1ECB"/>
    <w:rsid w:val="007E208C"/>
    <w:rsid w:val="007E21DC"/>
    <w:rsid w:val="007E2727"/>
    <w:rsid w:val="007E2B16"/>
    <w:rsid w:val="007E30D2"/>
    <w:rsid w:val="007E4902"/>
    <w:rsid w:val="007E4D42"/>
    <w:rsid w:val="007E4F72"/>
    <w:rsid w:val="007E5540"/>
    <w:rsid w:val="007E67BF"/>
    <w:rsid w:val="007E69A1"/>
    <w:rsid w:val="007E6BE8"/>
    <w:rsid w:val="007E6DD7"/>
    <w:rsid w:val="007E721F"/>
    <w:rsid w:val="007E764C"/>
    <w:rsid w:val="007E77A6"/>
    <w:rsid w:val="007F0630"/>
    <w:rsid w:val="007F1128"/>
    <w:rsid w:val="007F1361"/>
    <w:rsid w:val="007F1BBC"/>
    <w:rsid w:val="007F22DB"/>
    <w:rsid w:val="007F2EE7"/>
    <w:rsid w:val="007F31C0"/>
    <w:rsid w:val="007F3467"/>
    <w:rsid w:val="007F349B"/>
    <w:rsid w:val="007F353C"/>
    <w:rsid w:val="007F47AF"/>
    <w:rsid w:val="007F4989"/>
    <w:rsid w:val="007F4C67"/>
    <w:rsid w:val="007F54E7"/>
    <w:rsid w:val="007F57A3"/>
    <w:rsid w:val="007F5ACD"/>
    <w:rsid w:val="007F7394"/>
    <w:rsid w:val="00800056"/>
    <w:rsid w:val="00800B61"/>
    <w:rsid w:val="008011E1"/>
    <w:rsid w:val="00801316"/>
    <w:rsid w:val="008014C3"/>
    <w:rsid w:val="0080262A"/>
    <w:rsid w:val="0080298B"/>
    <w:rsid w:val="00802D51"/>
    <w:rsid w:val="00802F15"/>
    <w:rsid w:val="00803044"/>
    <w:rsid w:val="008033A0"/>
    <w:rsid w:val="00804A1F"/>
    <w:rsid w:val="0080535F"/>
    <w:rsid w:val="00805410"/>
    <w:rsid w:val="00805791"/>
    <w:rsid w:val="0080596A"/>
    <w:rsid w:val="00805F8D"/>
    <w:rsid w:val="00806381"/>
    <w:rsid w:val="00806698"/>
    <w:rsid w:val="00806DD7"/>
    <w:rsid w:val="00807843"/>
    <w:rsid w:val="00807B1A"/>
    <w:rsid w:val="008100D3"/>
    <w:rsid w:val="0081028D"/>
    <w:rsid w:val="008104B2"/>
    <w:rsid w:val="008111E8"/>
    <w:rsid w:val="0081140A"/>
    <w:rsid w:val="00811844"/>
    <w:rsid w:val="00811B65"/>
    <w:rsid w:val="0081283D"/>
    <w:rsid w:val="0081297F"/>
    <w:rsid w:val="008134B5"/>
    <w:rsid w:val="008134BE"/>
    <w:rsid w:val="008137E4"/>
    <w:rsid w:val="00814756"/>
    <w:rsid w:val="0081487C"/>
    <w:rsid w:val="00814E5A"/>
    <w:rsid w:val="008150D9"/>
    <w:rsid w:val="00815290"/>
    <w:rsid w:val="008169CD"/>
    <w:rsid w:val="00816D06"/>
    <w:rsid w:val="00817415"/>
    <w:rsid w:val="008174F7"/>
    <w:rsid w:val="008177B0"/>
    <w:rsid w:val="00817C5E"/>
    <w:rsid w:val="00817D7E"/>
    <w:rsid w:val="0082074B"/>
    <w:rsid w:val="00820917"/>
    <w:rsid w:val="00820C81"/>
    <w:rsid w:val="008210A8"/>
    <w:rsid w:val="00821805"/>
    <w:rsid w:val="00821BAD"/>
    <w:rsid w:val="00822216"/>
    <w:rsid w:val="008229D1"/>
    <w:rsid w:val="00822A95"/>
    <w:rsid w:val="00822F99"/>
    <w:rsid w:val="00823150"/>
    <w:rsid w:val="00824E75"/>
    <w:rsid w:val="00826611"/>
    <w:rsid w:val="00826BB4"/>
    <w:rsid w:val="00827C7D"/>
    <w:rsid w:val="00827D15"/>
    <w:rsid w:val="00830916"/>
    <w:rsid w:val="00830A17"/>
    <w:rsid w:val="00831B0F"/>
    <w:rsid w:val="0083248A"/>
    <w:rsid w:val="00833E98"/>
    <w:rsid w:val="00834032"/>
    <w:rsid w:val="00834688"/>
    <w:rsid w:val="00834A26"/>
    <w:rsid w:val="00834BC0"/>
    <w:rsid w:val="008363E0"/>
    <w:rsid w:val="0083687F"/>
    <w:rsid w:val="00840A08"/>
    <w:rsid w:val="00840AE1"/>
    <w:rsid w:val="008410DE"/>
    <w:rsid w:val="0084114D"/>
    <w:rsid w:val="0084194E"/>
    <w:rsid w:val="00841ED2"/>
    <w:rsid w:val="00842157"/>
    <w:rsid w:val="0084290E"/>
    <w:rsid w:val="00842AC7"/>
    <w:rsid w:val="0084327C"/>
    <w:rsid w:val="00843BAF"/>
    <w:rsid w:val="00843F68"/>
    <w:rsid w:val="00844C01"/>
    <w:rsid w:val="00844C95"/>
    <w:rsid w:val="00845DBC"/>
    <w:rsid w:val="00846857"/>
    <w:rsid w:val="00846B9A"/>
    <w:rsid w:val="0084746B"/>
    <w:rsid w:val="00847CC2"/>
    <w:rsid w:val="0085083A"/>
    <w:rsid w:val="008513E1"/>
    <w:rsid w:val="0085181D"/>
    <w:rsid w:val="008522A6"/>
    <w:rsid w:val="00852383"/>
    <w:rsid w:val="00852DAB"/>
    <w:rsid w:val="00852E83"/>
    <w:rsid w:val="00853286"/>
    <w:rsid w:val="008533A3"/>
    <w:rsid w:val="0085426A"/>
    <w:rsid w:val="00854AFC"/>
    <w:rsid w:val="00854F90"/>
    <w:rsid w:val="00855234"/>
    <w:rsid w:val="008555D4"/>
    <w:rsid w:val="008558C2"/>
    <w:rsid w:val="00855DAE"/>
    <w:rsid w:val="008560E7"/>
    <w:rsid w:val="00856291"/>
    <w:rsid w:val="00856349"/>
    <w:rsid w:val="008568C5"/>
    <w:rsid w:val="00856CA1"/>
    <w:rsid w:val="00857491"/>
    <w:rsid w:val="008576D9"/>
    <w:rsid w:val="00857FA0"/>
    <w:rsid w:val="00860616"/>
    <w:rsid w:val="0086101C"/>
    <w:rsid w:val="008616CD"/>
    <w:rsid w:val="00861C0F"/>
    <w:rsid w:val="00862013"/>
    <w:rsid w:val="00862376"/>
    <w:rsid w:val="00862BC9"/>
    <w:rsid w:val="00863090"/>
    <w:rsid w:val="00863409"/>
    <w:rsid w:val="00864519"/>
    <w:rsid w:val="008645E9"/>
    <w:rsid w:val="00865E4A"/>
    <w:rsid w:val="008664A1"/>
    <w:rsid w:val="00866B84"/>
    <w:rsid w:val="00866C13"/>
    <w:rsid w:val="00867180"/>
    <w:rsid w:val="008671F2"/>
    <w:rsid w:val="008674D5"/>
    <w:rsid w:val="00867CBA"/>
    <w:rsid w:val="0087008B"/>
    <w:rsid w:val="008700BC"/>
    <w:rsid w:val="008700DE"/>
    <w:rsid w:val="00871E9C"/>
    <w:rsid w:val="00872396"/>
    <w:rsid w:val="008728DB"/>
    <w:rsid w:val="00872F23"/>
    <w:rsid w:val="00873549"/>
    <w:rsid w:val="008737CA"/>
    <w:rsid w:val="00873A1A"/>
    <w:rsid w:val="00873EAF"/>
    <w:rsid w:val="0087441E"/>
    <w:rsid w:val="00874A74"/>
    <w:rsid w:val="0087541D"/>
    <w:rsid w:val="008754B8"/>
    <w:rsid w:val="00875B5A"/>
    <w:rsid w:val="00875EF2"/>
    <w:rsid w:val="00875F47"/>
    <w:rsid w:val="00876AEB"/>
    <w:rsid w:val="00876E11"/>
    <w:rsid w:val="008778F5"/>
    <w:rsid w:val="00877A9E"/>
    <w:rsid w:val="00877B98"/>
    <w:rsid w:val="00877BEA"/>
    <w:rsid w:val="0088045F"/>
    <w:rsid w:val="00880708"/>
    <w:rsid w:val="00880A64"/>
    <w:rsid w:val="00881083"/>
    <w:rsid w:val="008815CF"/>
    <w:rsid w:val="00881BAB"/>
    <w:rsid w:val="00882769"/>
    <w:rsid w:val="008828A4"/>
    <w:rsid w:val="00882D0F"/>
    <w:rsid w:val="008835A2"/>
    <w:rsid w:val="0088454F"/>
    <w:rsid w:val="00884868"/>
    <w:rsid w:val="00884FC4"/>
    <w:rsid w:val="00885936"/>
    <w:rsid w:val="00885D67"/>
    <w:rsid w:val="00885EAD"/>
    <w:rsid w:val="00886A3A"/>
    <w:rsid w:val="00886A4E"/>
    <w:rsid w:val="00886A88"/>
    <w:rsid w:val="0088740C"/>
    <w:rsid w:val="008878C8"/>
    <w:rsid w:val="00887F1D"/>
    <w:rsid w:val="00887F50"/>
    <w:rsid w:val="00890050"/>
    <w:rsid w:val="008903F7"/>
    <w:rsid w:val="00890477"/>
    <w:rsid w:val="00890651"/>
    <w:rsid w:val="0089179A"/>
    <w:rsid w:val="008918D0"/>
    <w:rsid w:val="00892A4E"/>
    <w:rsid w:val="00892CFF"/>
    <w:rsid w:val="008933D0"/>
    <w:rsid w:val="00894037"/>
    <w:rsid w:val="0089452F"/>
    <w:rsid w:val="00894C22"/>
    <w:rsid w:val="008952A0"/>
    <w:rsid w:val="008953EB"/>
    <w:rsid w:val="00895E64"/>
    <w:rsid w:val="008961E1"/>
    <w:rsid w:val="0089625B"/>
    <w:rsid w:val="00896567"/>
    <w:rsid w:val="00896FBE"/>
    <w:rsid w:val="00897C97"/>
    <w:rsid w:val="008A0229"/>
    <w:rsid w:val="008A0925"/>
    <w:rsid w:val="008A0C4B"/>
    <w:rsid w:val="008A0CA7"/>
    <w:rsid w:val="008A0F2B"/>
    <w:rsid w:val="008A1178"/>
    <w:rsid w:val="008A19EE"/>
    <w:rsid w:val="008A1B7F"/>
    <w:rsid w:val="008A2160"/>
    <w:rsid w:val="008A252B"/>
    <w:rsid w:val="008A2608"/>
    <w:rsid w:val="008A30A1"/>
    <w:rsid w:val="008A3452"/>
    <w:rsid w:val="008A36A5"/>
    <w:rsid w:val="008A3ADB"/>
    <w:rsid w:val="008A42CF"/>
    <w:rsid w:val="008A46B3"/>
    <w:rsid w:val="008A4887"/>
    <w:rsid w:val="008A49F5"/>
    <w:rsid w:val="008A59CE"/>
    <w:rsid w:val="008A5EE0"/>
    <w:rsid w:val="008A6239"/>
    <w:rsid w:val="008A6312"/>
    <w:rsid w:val="008A641D"/>
    <w:rsid w:val="008A6F54"/>
    <w:rsid w:val="008A710B"/>
    <w:rsid w:val="008A7A4C"/>
    <w:rsid w:val="008A7AD4"/>
    <w:rsid w:val="008A7CE4"/>
    <w:rsid w:val="008A7D33"/>
    <w:rsid w:val="008B0242"/>
    <w:rsid w:val="008B0C7B"/>
    <w:rsid w:val="008B11E8"/>
    <w:rsid w:val="008B1244"/>
    <w:rsid w:val="008B1338"/>
    <w:rsid w:val="008B1694"/>
    <w:rsid w:val="008B1DF9"/>
    <w:rsid w:val="008B225F"/>
    <w:rsid w:val="008B27FD"/>
    <w:rsid w:val="008B2F44"/>
    <w:rsid w:val="008B311C"/>
    <w:rsid w:val="008B33DD"/>
    <w:rsid w:val="008B3C6B"/>
    <w:rsid w:val="008B3D50"/>
    <w:rsid w:val="008B5552"/>
    <w:rsid w:val="008B563E"/>
    <w:rsid w:val="008B5B11"/>
    <w:rsid w:val="008B5C75"/>
    <w:rsid w:val="008B618F"/>
    <w:rsid w:val="008B6595"/>
    <w:rsid w:val="008B6D62"/>
    <w:rsid w:val="008B7189"/>
    <w:rsid w:val="008B73EF"/>
    <w:rsid w:val="008B7412"/>
    <w:rsid w:val="008C055A"/>
    <w:rsid w:val="008C0F29"/>
    <w:rsid w:val="008C11DC"/>
    <w:rsid w:val="008C17AA"/>
    <w:rsid w:val="008C1CD2"/>
    <w:rsid w:val="008C1E3B"/>
    <w:rsid w:val="008C1F21"/>
    <w:rsid w:val="008C2404"/>
    <w:rsid w:val="008C28EB"/>
    <w:rsid w:val="008C2C90"/>
    <w:rsid w:val="008C2D28"/>
    <w:rsid w:val="008C32F9"/>
    <w:rsid w:val="008C3600"/>
    <w:rsid w:val="008C36A1"/>
    <w:rsid w:val="008C470A"/>
    <w:rsid w:val="008C4B40"/>
    <w:rsid w:val="008C574D"/>
    <w:rsid w:val="008C6126"/>
    <w:rsid w:val="008C61B3"/>
    <w:rsid w:val="008C61C8"/>
    <w:rsid w:val="008C6D65"/>
    <w:rsid w:val="008C6FD9"/>
    <w:rsid w:val="008C75B6"/>
    <w:rsid w:val="008D0D03"/>
    <w:rsid w:val="008D11D7"/>
    <w:rsid w:val="008D12F4"/>
    <w:rsid w:val="008D1A2D"/>
    <w:rsid w:val="008D27BA"/>
    <w:rsid w:val="008D30F4"/>
    <w:rsid w:val="008D3A76"/>
    <w:rsid w:val="008D3CFB"/>
    <w:rsid w:val="008D48F0"/>
    <w:rsid w:val="008D5163"/>
    <w:rsid w:val="008D58FA"/>
    <w:rsid w:val="008D59E2"/>
    <w:rsid w:val="008D5FBC"/>
    <w:rsid w:val="008D6A1A"/>
    <w:rsid w:val="008D6B76"/>
    <w:rsid w:val="008D6FC5"/>
    <w:rsid w:val="008E00B4"/>
    <w:rsid w:val="008E042B"/>
    <w:rsid w:val="008E0610"/>
    <w:rsid w:val="008E0BA1"/>
    <w:rsid w:val="008E0F39"/>
    <w:rsid w:val="008E1251"/>
    <w:rsid w:val="008E1A21"/>
    <w:rsid w:val="008E1C25"/>
    <w:rsid w:val="008E1FD4"/>
    <w:rsid w:val="008E20A5"/>
    <w:rsid w:val="008E23D0"/>
    <w:rsid w:val="008E3413"/>
    <w:rsid w:val="008E40B6"/>
    <w:rsid w:val="008E43A7"/>
    <w:rsid w:val="008E4735"/>
    <w:rsid w:val="008E50D6"/>
    <w:rsid w:val="008E621B"/>
    <w:rsid w:val="008E644B"/>
    <w:rsid w:val="008E64AC"/>
    <w:rsid w:val="008E6A9B"/>
    <w:rsid w:val="008E6F9B"/>
    <w:rsid w:val="008E707A"/>
    <w:rsid w:val="008E7641"/>
    <w:rsid w:val="008E7E1D"/>
    <w:rsid w:val="008F04A8"/>
    <w:rsid w:val="008F0802"/>
    <w:rsid w:val="008F092E"/>
    <w:rsid w:val="008F0B54"/>
    <w:rsid w:val="008F1861"/>
    <w:rsid w:val="008F1BC2"/>
    <w:rsid w:val="008F2289"/>
    <w:rsid w:val="008F2DE9"/>
    <w:rsid w:val="008F406B"/>
    <w:rsid w:val="008F421D"/>
    <w:rsid w:val="008F455B"/>
    <w:rsid w:val="008F4648"/>
    <w:rsid w:val="008F4B9E"/>
    <w:rsid w:val="008F6C07"/>
    <w:rsid w:val="008F6C84"/>
    <w:rsid w:val="008F6E60"/>
    <w:rsid w:val="008F7087"/>
    <w:rsid w:val="008F7D53"/>
    <w:rsid w:val="009010C9"/>
    <w:rsid w:val="009018A7"/>
    <w:rsid w:val="00901A20"/>
    <w:rsid w:val="00901BE4"/>
    <w:rsid w:val="0090325D"/>
    <w:rsid w:val="009033DE"/>
    <w:rsid w:val="00904082"/>
    <w:rsid w:val="009040DE"/>
    <w:rsid w:val="00904344"/>
    <w:rsid w:val="00904731"/>
    <w:rsid w:val="009058BC"/>
    <w:rsid w:val="00905CF0"/>
    <w:rsid w:val="00906138"/>
    <w:rsid w:val="009061BC"/>
    <w:rsid w:val="009065F7"/>
    <w:rsid w:val="00907977"/>
    <w:rsid w:val="009079FC"/>
    <w:rsid w:val="00910C87"/>
    <w:rsid w:val="00910EEE"/>
    <w:rsid w:val="009110DA"/>
    <w:rsid w:val="009116F7"/>
    <w:rsid w:val="00911C94"/>
    <w:rsid w:val="00911D83"/>
    <w:rsid w:val="009123D6"/>
    <w:rsid w:val="009130AD"/>
    <w:rsid w:val="0091398B"/>
    <w:rsid w:val="00913A95"/>
    <w:rsid w:val="00913EAD"/>
    <w:rsid w:val="00914276"/>
    <w:rsid w:val="009143CB"/>
    <w:rsid w:val="0091463B"/>
    <w:rsid w:val="00914D51"/>
    <w:rsid w:val="009151B8"/>
    <w:rsid w:val="0091526B"/>
    <w:rsid w:val="00915798"/>
    <w:rsid w:val="00915C66"/>
    <w:rsid w:val="00915DF7"/>
    <w:rsid w:val="009169A8"/>
    <w:rsid w:val="00917C0E"/>
    <w:rsid w:val="00920292"/>
    <w:rsid w:val="0092038D"/>
    <w:rsid w:val="00920770"/>
    <w:rsid w:val="009213F9"/>
    <w:rsid w:val="009215A4"/>
    <w:rsid w:val="00921902"/>
    <w:rsid w:val="009231C9"/>
    <w:rsid w:val="009234E4"/>
    <w:rsid w:val="009237FC"/>
    <w:rsid w:val="00923852"/>
    <w:rsid w:val="0092415A"/>
    <w:rsid w:val="00924858"/>
    <w:rsid w:val="00924B32"/>
    <w:rsid w:val="00924EA4"/>
    <w:rsid w:val="0092506A"/>
    <w:rsid w:val="009253AC"/>
    <w:rsid w:val="00926279"/>
    <w:rsid w:val="00926B99"/>
    <w:rsid w:val="00927013"/>
    <w:rsid w:val="009303D5"/>
    <w:rsid w:val="009308F5"/>
    <w:rsid w:val="00931076"/>
    <w:rsid w:val="00931581"/>
    <w:rsid w:val="00931E47"/>
    <w:rsid w:val="009327B3"/>
    <w:rsid w:val="00932AB7"/>
    <w:rsid w:val="00932D51"/>
    <w:rsid w:val="00935C81"/>
    <w:rsid w:val="00935D18"/>
    <w:rsid w:val="00936277"/>
    <w:rsid w:val="009363B7"/>
    <w:rsid w:val="00936E15"/>
    <w:rsid w:val="00936F63"/>
    <w:rsid w:val="009373C1"/>
    <w:rsid w:val="00937EDE"/>
    <w:rsid w:val="00940671"/>
    <w:rsid w:val="0094071E"/>
    <w:rsid w:val="00940EBE"/>
    <w:rsid w:val="00940F0A"/>
    <w:rsid w:val="0094162A"/>
    <w:rsid w:val="00941CC7"/>
    <w:rsid w:val="0094254A"/>
    <w:rsid w:val="0094278F"/>
    <w:rsid w:val="00942CB4"/>
    <w:rsid w:val="009435C8"/>
    <w:rsid w:val="00943B58"/>
    <w:rsid w:val="00943FF0"/>
    <w:rsid w:val="0094430D"/>
    <w:rsid w:val="0094591F"/>
    <w:rsid w:val="0094623A"/>
    <w:rsid w:val="0094667E"/>
    <w:rsid w:val="00946B37"/>
    <w:rsid w:val="00946EA6"/>
    <w:rsid w:val="00947A4E"/>
    <w:rsid w:val="00947FB1"/>
    <w:rsid w:val="00947FE6"/>
    <w:rsid w:val="00950ACF"/>
    <w:rsid w:val="009513DC"/>
    <w:rsid w:val="0095154D"/>
    <w:rsid w:val="00951A55"/>
    <w:rsid w:val="00951BC1"/>
    <w:rsid w:val="009525D1"/>
    <w:rsid w:val="00952A13"/>
    <w:rsid w:val="00952BCE"/>
    <w:rsid w:val="00953402"/>
    <w:rsid w:val="00953D63"/>
    <w:rsid w:val="00953E40"/>
    <w:rsid w:val="009554E8"/>
    <w:rsid w:val="009556DD"/>
    <w:rsid w:val="00955BCF"/>
    <w:rsid w:val="00955CDE"/>
    <w:rsid w:val="00955D88"/>
    <w:rsid w:val="009568E6"/>
    <w:rsid w:val="009569C9"/>
    <w:rsid w:val="00956A8D"/>
    <w:rsid w:val="00956C7E"/>
    <w:rsid w:val="00956FD8"/>
    <w:rsid w:val="0095777A"/>
    <w:rsid w:val="009577FA"/>
    <w:rsid w:val="00957B1D"/>
    <w:rsid w:val="00957E26"/>
    <w:rsid w:val="0096037D"/>
    <w:rsid w:val="00960547"/>
    <w:rsid w:val="0096069A"/>
    <w:rsid w:val="00960858"/>
    <w:rsid w:val="00960961"/>
    <w:rsid w:val="00960A65"/>
    <w:rsid w:val="00960AC3"/>
    <w:rsid w:val="00961692"/>
    <w:rsid w:val="00961B30"/>
    <w:rsid w:val="00961C61"/>
    <w:rsid w:val="009629EC"/>
    <w:rsid w:val="0096456D"/>
    <w:rsid w:val="00964648"/>
    <w:rsid w:val="00964920"/>
    <w:rsid w:val="00964E8D"/>
    <w:rsid w:val="00964EAB"/>
    <w:rsid w:val="0096511C"/>
    <w:rsid w:val="0096528C"/>
    <w:rsid w:val="009661AC"/>
    <w:rsid w:val="009661AE"/>
    <w:rsid w:val="00966455"/>
    <w:rsid w:val="0096679A"/>
    <w:rsid w:val="0096684D"/>
    <w:rsid w:val="00966A35"/>
    <w:rsid w:val="0096714E"/>
    <w:rsid w:val="00967690"/>
    <w:rsid w:val="00967E90"/>
    <w:rsid w:val="009703F6"/>
    <w:rsid w:val="009709FA"/>
    <w:rsid w:val="00971BD8"/>
    <w:rsid w:val="00972D66"/>
    <w:rsid w:val="00973A8B"/>
    <w:rsid w:val="00973CED"/>
    <w:rsid w:val="00974CB6"/>
    <w:rsid w:val="00974E52"/>
    <w:rsid w:val="0097571C"/>
    <w:rsid w:val="00975736"/>
    <w:rsid w:val="00977714"/>
    <w:rsid w:val="00977C34"/>
    <w:rsid w:val="00980218"/>
    <w:rsid w:val="0098064A"/>
    <w:rsid w:val="00980AE9"/>
    <w:rsid w:val="0098113F"/>
    <w:rsid w:val="00981510"/>
    <w:rsid w:val="00981D97"/>
    <w:rsid w:val="00981F85"/>
    <w:rsid w:val="009822A3"/>
    <w:rsid w:val="0098263D"/>
    <w:rsid w:val="00982A42"/>
    <w:rsid w:val="00982A75"/>
    <w:rsid w:val="00982AF0"/>
    <w:rsid w:val="00982D9F"/>
    <w:rsid w:val="009833CC"/>
    <w:rsid w:val="009836EC"/>
    <w:rsid w:val="009846B3"/>
    <w:rsid w:val="00984B76"/>
    <w:rsid w:val="009863EB"/>
    <w:rsid w:val="0098641E"/>
    <w:rsid w:val="00986658"/>
    <w:rsid w:val="009866C5"/>
    <w:rsid w:val="009866EB"/>
    <w:rsid w:val="009866ED"/>
    <w:rsid w:val="00986E49"/>
    <w:rsid w:val="00987C83"/>
    <w:rsid w:val="00987D63"/>
    <w:rsid w:val="009902EC"/>
    <w:rsid w:val="009906C0"/>
    <w:rsid w:val="00990A5D"/>
    <w:rsid w:val="00991D71"/>
    <w:rsid w:val="00994225"/>
    <w:rsid w:val="009948A7"/>
    <w:rsid w:val="00995759"/>
    <w:rsid w:val="00995CAF"/>
    <w:rsid w:val="009961DD"/>
    <w:rsid w:val="0099693C"/>
    <w:rsid w:val="00996C77"/>
    <w:rsid w:val="00996D47"/>
    <w:rsid w:val="009974A0"/>
    <w:rsid w:val="009974CA"/>
    <w:rsid w:val="009979BD"/>
    <w:rsid w:val="009A004B"/>
    <w:rsid w:val="009A0057"/>
    <w:rsid w:val="009A08C1"/>
    <w:rsid w:val="009A0DF4"/>
    <w:rsid w:val="009A13BF"/>
    <w:rsid w:val="009A19EA"/>
    <w:rsid w:val="009A23ED"/>
    <w:rsid w:val="009A2FED"/>
    <w:rsid w:val="009A3750"/>
    <w:rsid w:val="009A3B22"/>
    <w:rsid w:val="009A3BDD"/>
    <w:rsid w:val="009A4743"/>
    <w:rsid w:val="009A483A"/>
    <w:rsid w:val="009A48C4"/>
    <w:rsid w:val="009A59FE"/>
    <w:rsid w:val="009A5C07"/>
    <w:rsid w:val="009A75EE"/>
    <w:rsid w:val="009A7E22"/>
    <w:rsid w:val="009B0237"/>
    <w:rsid w:val="009B05A1"/>
    <w:rsid w:val="009B0A5E"/>
    <w:rsid w:val="009B0DF9"/>
    <w:rsid w:val="009B11BD"/>
    <w:rsid w:val="009B1249"/>
    <w:rsid w:val="009B1BBA"/>
    <w:rsid w:val="009B2712"/>
    <w:rsid w:val="009B34C6"/>
    <w:rsid w:val="009B3A70"/>
    <w:rsid w:val="009B3D37"/>
    <w:rsid w:val="009B43A4"/>
    <w:rsid w:val="009B47B3"/>
    <w:rsid w:val="009B540D"/>
    <w:rsid w:val="009B6813"/>
    <w:rsid w:val="009B6972"/>
    <w:rsid w:val="009B6B0D"/>
    <w:rsid w:val="009B722B"/>
    <w:rsid w:val="009B7492"/>
    <w:rsid w:val="009B7A2A"/>
    <w:rsid w:val="009B7B13"/>
    <w:rsid w:val="009B7B61"/>
    <w:rsid w:val="009C0414"/>
    <w:rsid w:val="009C07ED"/>
    <w:rsid w:val="009C09CF"/>
    <w:rsid w:val="009C1BE4"/>
    <w:rsid w:val="009C1CA1"/>
    <w:rsid w:val="009C1CA6"/>
    <w:rsid w:val="009C1DC8"/>
    <w:rsid w:val="009C1E54"/>
    <w:rsid w:val="009C21CD"/>
    <w:rsid w:val="009C24B0"/>
    <w:rsid w:val="009C2524"/>
    <w:rsid w:val="009C279F"/>
    <w:rsid w:val="009C2F88"/>
    <w:rsid w:val="009C3667"/>
    <w:rsid w:val="009C37B9"/>
    <w:rsid w:val="009C38B4"/>
    <w:rsid w:val="009C38FC"/>
    <w:rsid w:val="009C3C1A"/>
    <w:rsid w:val="009C3FBF"/>
    <w:rsid w:val="009C451C"/>
    <w:rsid w:val="009C4684"/>
    <w:rsid w:val="009C5608"/>
    <w:rsid w:val="009C56BD"/>
    <w:rsid w:val="009C5F76"/>
    <w:rsid w:val="009C6452"/>
    <w:rsid w:val="009C64CA"/>
    <w:rsid w:val="009C682A"/>
    <w:rsid w:val="009C6F80"/>
    <w:rsid w:val="009C7626"/>
    <w:rsid w:val="009D065D"/>
    <w:rsid w:val="009D0A3B"/>
    <w:rsid w:val="009D12BF"/>
    <w:rsid w:val="009D1687"/>
    <w:rsid w:val="009D16F3"/>
    <w:rsid w:val="009D1891"/>
    <w:rsid w:val="009D1CAD"/>
    <w:rsid w:val="009D2870"/>
    <w:rsid w:val="009D2BDE"/>
    <w:rsid w:val="009D2FCF"/>
    <w:rsid w:val="009D34D7"/>
    <w:rsid w:val="009D4106"/>
    <w:rsid w:val="009D47DC"/>
    <w:rsid w:val="009D4C26"/>
    <w:rsid w:val="009D4E92"/>
    <w:rsid w:val="009D57D9"/>
    <w:rsid w:val="009D6A53"/>
    <w:rsid w:val="009D6E36"/>
    <w:rsid w:val="009D790A"/>
    <w:rsid w:val="009E0A77"/>
    <w:rsid w:val="009E0F05"/>
    <w:rsid w:val="009E0F53"/>
    <w:rsid w:val="009E193E"/>
    <w:rsid w:val="009E22A9"/>
    <w:rsid w:val="009E2370"/>
    <w:rsid w:val="009E2400"/>
    <w:rsid w:val="009E2D2E"/>
    <w:rsid w:val="009E2FF5"/>
    <w:rsid w:val="009E31B5"/>
    <w:rsid w:val="009E336A"/>
    <w:rsid w:val="009E3616"/>
    <w:rsid w:val="009E3D88"/>
    <w:rsid w:val="009E3E82"/>
    <w:rsid w:val="009E4666"/>
    <w:rsid w:val="009E490A"/>
    <w:rsid w:val="009E5728"/>
    <w:rsid w:val="009E5AC4"/>
    <w:rsid w:val="009E5BA9"/>
    <w:rsid w:val="009E60C1"/>
    <w:rsid w:val="009E651A"/>
    <w:rsid w:val="009E65E1"/>
    <w:rsid w:val="009E6676"/>
    <w:rsid w:val="009E677D"/>
    <w:rsid w:val="009E6FE3"/>
    <w:rsid w:val="009E718A"/>
    <w:rsid w:val="009E71E6"/>
    <w:rsid w:val="009E77F6"/>
    <w:rsid w:val="009E7E46"/>
    <w:rsid w:val="009F0973"/>
    <w:rsid w:val="009F172D"/>
    <w:rsid w:val="009F1D51"/>
    <w:rsid w:val="009F283D"/>
    <w:rsid w:val="009F3351"/>
    <w:rsid w:val="009F41FC"/>
    <w:rsid w:val="009F46A7"/>
    <w:rsid w:val="009F46D1"/>
    <w:rsid w:val="009F59FF"/>
    <w:rsid w:val="009F5E62"/>
    <w:rsid w:val="009F5F50"/>
    <w:rsid w:val="009F67F9"/>
    <w:rsid w:val="009F69D9"/>
    <w:rsid w:val="009F6E48"/>
    <w:rsid w:val="009F70B5"/>
    <w:rsid w:val="009F78F0"/>
    <w:rsid w:val="00A0019F"/>
    <w:rsid w:val="00A00536"/>
    <w:rsid w:val="00A00923"/>
    <w:rsid w:val="00A00AED"/>
    <w:rsid w:val="00A01884"/>
    <w:rsid w:val="00A01A56"/>
    <w:rsid w:val="00A01CB9"/>
    <w:rsid w:val="00A02432"/>
    <w:rsid w:val="00A024ED"/>
    <w:rsid w:val="00A028D9"/>
    <w:rsid w:val="00A036AB"/>
    <w:rsid w:val="00A03911"/>
    <w:rsid w:val="00A04479"/>
    <w:rsid w:val="00A051C0"/>
    <w:rsid w:val="00A056B9"/>
    <w:rsid w:val="00A06053"/>
    <w:rsid w:val="00A07C42"/>
    <w:rsid w:val="00A07FB4"/>
    <w:rsid w:val="00A10EE4"/>
    <w:rsid w:val="00A110B8"/>
    <w:rsid w:val="00A11F6D"/>
    <w:rsid w:val="00A12040"/>
    <w:rsid w:val="00A12EE2"/>
    <w:rsid w:val="00A13761"/>
    <w:rsid w:val="00A138F0"/>
    <w:rsid w:val="00A14708"/>
    <w:rsid w:val="00A14898"/>
    <w:rsid w:val="00A149AD"/>
    <w:rsid w:val="00A14ACA"/>
    <w:rsid w:val="00A14CD5"/>
    <w:rsid w:val="00A154DB"/>
    <w:rsid w:val="00A156FD"/>
    <w:rsid w:val="00A16061"/>
    <w:rsid w:val="00A165AE"/>
    <w:rsid w:val="00A16DC1"/>
    <w:rsid w:val="00A17778"/>
    <w:rsid w:val="00A17FE5"/>
    <w:rsid w:val="00A2047F"/>
    <w:rsid w:val="00A2061F"/>
    <w:rsid w:val="00A206A6"/>
    <w:rsid w:val="00A2079E"/>
    <w:rsid w:val="00A20819"/>
    <w:rsid w:val="00A20C63"/>
    <w:rsid w:val="00A21416"/>
    <w:rsid w:val="00A21D9B"/>
    <w:rsid w:val="00A221B4"/>
    <w:rsid w:val="00A22AB8"/>
    <w:rsid w:val="00A23022"/>
    <w:rsid w:val="00A23280"/>
    <w:rsid w:val="00A23BEE"/>
    <w:rsid w:val="00A2431D"/>
    <w:rsid w:val="00A24E9F"/>
    <w:rsid w:val="00A24F54"/>
    <w:rsid w:val="00A25087"/>
    <w:rsid w:val="00A262CF"/>
    <w:rsid w:val="00A26452"/>
    <w:rsid w:val="00A2665B"/>
    <w:rsid w:val="00A26973"/>
    <w:rsid w:val="00A269DA"/>
    <w:rsid w:val="00A27821"/>
    <w:rsid w:val="00A30405"/>
    <w:rsid w:val="00A306CA"/>
    <w:rsid w:val="00A31783"/>
    <w:rsid w:val="00A31A93"/>
    <w:rsid w:val="00A339E2"/>
    <w:rsid w:val="00A33FD4"/>
    <w:rsid w:val="00A34535"/>
    <w:rsid w:val="00A3505E"/>
    <w:rsid w:val="00A36DF4"/>
    <w:rsid w:val="00A37310"/>
    <w:rsid w:val="00A40970"/>
    <w:rsid w:val="00A40A43"/>
    <w:rsid w:val="00A40A64"/>
    <w:rsid w:val="00A41040"/>
    <w:rsid w:val="00A4120D"/>
    <w:rsid w:val="00A412CF"/>
    <w:rsid w:val="00A41379"/>
    <w:rsid w:val="00A413C7"/>
    <w:rsid w:val="00A41FDC"/>
    <w:rsid w:val="00A42990"/>
    <w:rsid w:val="00A430CF"/>
    <w:rsid w:val="00A4350E"/>
    <w:rsid w:val="00A436D4"/>
    <w:rsid w:val="00A43F9E"/>
    <w:rsid w:val="00A44059"/>
    <w:rsid w:val="00A4584B"/>
    <w:rsid w:val="00A45E64"/>
    <w:rsid w:val="00A465AF"/>
    <w:rsid w:val="00A46C94"/>
    <w:rsid w:val="00A46ED9"/>
    <w:rsid w:val="00A472FD"/>
    <w:rsid w:val="00A475C9"/>
    <w:rsid w:val="00A47A06"/>
    <w:rsid w:val="00A47B2F"/>
    <w:rsid w:val="00A47D0D"/>
    <w:rsid w:val="00A47E36"/>
    <w:rsid w:val="00A51122"/>
    <w:rsid w:val="00A513A0"/>
    <w:rsid w:val="00A51A4E"/>
    <w:rsid w:val="00A52464"/>
    <w:rsid w:val="00A52BBA"/>
    <w:rsid w:val="00A52D2C"/>
    <w:rsid w:val="00A53ABF"/>
    <w:rsid w:val="00A53B57"/>
    <w:rsid w:val="00A53BFD"/>
    <w:rsid w:val="00A53E37"/>
    <w:rsid w:val="00A5468E"/>
    <w:rsid w:val="00A5487B"/>
    <w:rsid w:val="00A549D7"/>
    <w:rsid w:val="00A5664D"/>
    <w:rsid w:val="00A57F28"/>
    <w:rsid w:val="00A60264"/>
    <w:rsid w:val="00A6029C"/>
    <w:rsid w:val="00A60BD4"/>
    <w:rsid w:val="00A618D7"/>
    <w:rsid w:val="00A62B7F"/>
    <w:rsid w:val="00A6317B"/>
    <w:rsid w:val="00A635BB"/>
    <w:rsid w:val="00A63D4E"/>
    <w:rsid w:val="00A646F0"/>
    <w:rsid w:val="00A65562"/>
    <w:rsid w:val="00A657D3"/>
    <w:rsid w:val="00A6595F"/>
    <w:rsid w:val="00A65B77"/>
    <w:rsid w:val="00A65D11"/>
    <w:rsid w:val="00A65F15"/>
    <w:rsid w:val="00A66DD7"/>
    <w:rsid w:val="00A67F19"/>
    <w:rsid w:val="00A67F4F"/>
    <w:rsid w:val="00A701DB"/>
    <w:rsid w:val="00A7077C"/>
    <w:rsid w:val="00A70C07"/>
    <w:rsid w:val="00A7121A"/>
    <w:rsid w:val="00A72028"/>
    <w:rsid w:val="00A721B4"/>
    <w:rsid w:val="00A723AB"/>
    <w:rsid w:val="00A7291F"/>
    <w:rsid w:val="00A7305E"/>
    <w:rsid w:val="00A732F8"/>
    <w:rsid w:val="00A73D1B"/>
    <w:rsid w:val="00A73D38"/>
    <w:rsid w:val="00A74744"/>
    <w:rsid w:val="00A749A1"/>
    <w:rsid w:val="00A753FC"/>
    <w:rsid w:val="00A75899"/>
    <w:rsid w:val="00A769FE"/>
    <w:rsid w:val="00A80861"/>
    <w:rsid w:val="00A81567"/>
    <w:rsid w:val="00A81CCC"/>
    <w:rsid w:val="00A8203E"/>
    <w:rsid w:val="00A826EA"/>
    <w:rsid w:val="00A82A50"/>
    <w:rsid w:val="00A83260"/>
    <w:rsid w:val="00A83446"/>
    <w:rsid w:val="00A83C37"/>
    <w:rsid w:val="00A83EB8"/>
    <w:rsid w:val="00A84698"/>
    <w:rsid w:val="00A84EFE"/>
    <w:rsid w:val="00A8561A"/>
    <w:rsid w:val="00A85706"/>
    <w:rsid w:val="00A8591F"/>
    <w:rsid w:val="00A8595B"/>
    <w:rsid w:val="00A85D45"/>
    <w:rsid w:val="00A85F15"/>
    <w:rsid w:val="00A86337"/>
    <w:rsid w:val="00A86378"/>
    <w:rsid w:val="00A87377"/>
    <w:rsid w:val="00A90518"/>
    <w:rsid w:val="00A9135B"/>
    <w:rsid w:val="00A9143A"/>
    <w:rsid w:val="00A914F0"/>
    <w:rsid w:val="00A91623"/>
    <w:rsid w:val="00A91BF4"/>
    <w:rsid w:val="00A91DB6"/>
    <w:rsid w:val="00A91F09"/>
    <w:rsid w:val="00A921C4"/>
    <w:rsid w:val="00A939D6"/>
    <w:rsid w:val="00A93E5B"/>
    <w:rsid w:val="00A9478D"/>
    <w:rsid w:val="00A95A11"/>
    <w:rsid w:val="00A96622"/>
    <w:rsid w:val="00A96D7A"/>
    <w:rsid w:val="00A97212"/>
    <w:rsid w:val="00A97471"/>
    <w:rsid w:val="00A97B51"/>
    <w:rsid w:val="00AA0758"/>
    <w:rsid w:val="00AA0C5A"/>
    <w:rsid w:val="00AA14C1"/>
    <w:rsid w:val="00AA1D5C"/>
    <w:rsid w:val="00AA26DE"/>
    <w:rsid w:val="00AA2D1F"/>
    <w:rsid w:val="00AA2E8D"/>
    <w:rsid w:val="00AA3363"/>
    <w:rsid w:val="00AA3A27"/>
    <w:rsid w:val="00AA3FBC"/>
    <w:rsid w:val="00AA4506"/>
    <w:rsid w:val="00AA4A93"/>
    <w:rsid w:val="00AA523A"/>
    <w:rsid w:val="00AA5DA5"/>
    <w:rsid w:val="00AA5E9A"/>
    <w:rsid w:val="00AA6503"/>
    <w:rsid w:val="00AA6515"/>
    <w:rsid w:val="00AA6791"/>
    <w:rsid w:val="00AA6874"/>
    <w:rsid w:val="00AA6B0E"/>
    <w:rsid w:val="00AA7463"/>
    <w:rsid w:val="00AA76B1"/>
    <w:rsid w:val="00AA7E66"/>
    <w:rsid w:val="00AA7F21"/>
    <w:rsid w:val="00AB0702"/>
    <w:rsid w:val="00AB0B21"/>
    <w:rsid w:val="00AB0BF6"/>
    <w:rsid w:val="00AB0F10"/>
    <w:rsid w:val="00AB16C5"/>
    <w:rsid w:val="00AB1AD4"/>
    <w:rsid w:val="00AB1EE6"/>
    <w:rsid w:val="00AB2052"/>
    <w:rsid w:val="00AB21BA"/>
    <w:rsid w:val="00AB2337"/>
    <w:rsid w:val="00AB23B8"/>
    <w:rsid w:val="00AB5066"/>
    <w:rsid w:val="00AB5214"/>
    <w:rsid w:val="00AB52B0"/>
    <w:rsid w:val="00AB5752"/>
    <w:rsid w:val="00AB575C"/>
    <w:rsid w:val="00AB5F8B"/>
    <w:rsid w:val="00AB625E"/>
    <w:rsid w:val="00AB6754"/>
    <w:rsid w:val="00AC0A82"/>
    <w:rsid w:val="00AC0F15"/>
    <w:rsid w:val="00AC13AB"/>
    <w:rsid w:val="00AC19F7"/>
    <w:rsid w:val="00AC26CF"/>
    <w:rsid w:val="00AC2938"/>
    <w:rsid w:val="00AC3002"/>
    <w:rsid w:val="00AC30AD"/>
    <w:rsid w:val="00AC3857"/>
    <w:rsid w:val="00AC3960"/>
    <w:rsid w:val="00AC3C5D"/>
    <w:rsid w:val="00AC3E75"/>
    <w:rsid w:val="00AC4986"/>
    <w:rsid w:val="00AC4AB9"/>
    <w:rsid w:val="00AC4B7B"/>
    <w:rsid w:val="00AC4C1D"/>
    <w:rsid w:val="00AC58FE"/>
    <w:rsid w:val="00AC6620"/>
    <w:rsid w:val="00AC6CBA"/>
    <w:rsid w:val="00AC6CF5"/>
    <w:rsid w:val="00AC7581"/>
    <w:rsid w:val="00AD0E26"/>
    <w:rsid w:val="00AD2937"/>
    <w:rsid w:val="00AD35B7"/>
    <w:rsid w:val="00AD382C"/>
    <w:rsid w:val="00AD4090"/>
    <w:rsid w:val="00AD40E0"/>
    <w:rsid w:val="00AD43AA"/>
    <w:rsid w:val="00AD456A"/>
    <w:rsid w:val="00AD5112"/>
    <w:rsid w:val="00AD51B2"/>
    <w:rsid w:val="00AD53C0"/>
    <w:rsid w:val="00AD5836"/>
    <w:rsid w:val="00AD66C9"/>
    <w:rsid w:val="00AD69E7"/>
    <w:rsid w:val="00AD6D28"/>
    <w:rsid w:val="00AD6F2E"/>
    <w:rsid w:val="00AD7314"/>
    <w:rsid w:val="00AD7607"/>
    <w:rsid w:val="00AD7ED0"/>
    <w:rsid w:val="00AD7F1C"/>
    <w:rsid w:val="00AE0CA3"/>
    <w:rsid w:val="00AE1518"/>
    <w:rsid w:val="00AE1AB7"/>
    <w:rsid w:val="00AE1FC4"/>
    <w:rsid w:val="00AE2215"/>
    <w:rsid w:val="00AE2F6E"/>
    <w:rsid w:val="00AE3344"/>
    <w:rsid w:val="00AE3662"/>
    <w:rsid w:val="00AE3B31"/>
    <w:rsid w:val="00AE3E27"/>
    <w:rsid w:val="00AE4094"/>
    <w:rsid w:val="00AE474B"/>
    <w:rsid w:val="00AE5B6C"/>
    <w:rsid w:val="00AE5F61"/>
    <w:rsid w:val="00AE604E"/>
    <w:rsid w:val="00AE6600"/>
    <w:rsid w:val="00AE6880"/>
    <w:rsid w:val="00AE782F"/>
    <w:rsid w:val="00AE7895"/>
    <w:rsid w:val="00AE7F86"/>
    <w:rsid w:val="00AF02FE"/>
    <w:rsid w:val="00AF16DA"/>
    <w:rsid w:val="00AF190C"/>
    <w:rsid w:val="00AF1B18"/>
    <w:rsid w:val="00AF23E2"/>
    <w:rsid w:val="00AF2848"/>
    <w:rsid w:val="00AF2884"/>
    <w:rsid w:val="00AF2A70"/>
    <w:rsid w:val="00AF2AFB"/>
    <w:rsid w:val="00AF36B7"/>
    <w:rsid w:val="00AF3FD0"/>
    <w:rsid w:val="00AF438B"/>
    <w:rsid w:val="00AF4567"/>
    <w:rsid w:val="00AF5AF6"/>
    <w:rsid w:val="00AF5BD0"/>
    <w:rsid w:val="00AF639B"/>
    <w:rsid w:val="00AF662B"/>
    <w:rsid w:val="00AF76C9"/>
    <w:rsid w:val="00AF79C7"/>
    <w:rsid w:val="00AF79F6"/>
    <w:rsid w:val="00AF7F7F"/>
    <w:rsid w:val="00B00042"/>
    <w:rsid w:val="00B00602"/>
    <w:rsid w:val="00B006AB"/>
    <w:rsid w:val="00B00A13"/>
    <w:rsid w:val="00B00AEA"/>
    <w:rsid w:val="00B00F02"/>
    <w:rsid w:val="00B01A4D"/>
    <w:rsid w:val="00B01DFC"/>
    <w:rsid w:val="00B01FCA"/>
    <w:rsid w:val="00B026E3"/>
    <w:rsid w:val="00B02D66"/>
    <w:rsid w:val="00B02F9F"/>
    <w:rsid w:val="00B03381"/>
    <w:rsid w:val="00B038A5"/>
    <w:rsid w:val="00B03F60"/>
    <w:rsid w:val="00B04099"/>
    <w:rsid w:val="00B043C5"/>
    <w:rsid w:val="00B058F4"/>
    <w:rsid w:val="00B05F85"/>
    <w:rsid w:val="00B05FE0"/>
    <w:rsid w:val="00B061A7"/>
    <w:rsid w:val="00B06650"/>
    <w:rsid w:val="00B066B3"/>
    <w:rsid w:val="00B06CD2"/>
    <w:rsid w:val="00B06E52"/>
    <w:rsid w:val="00B06F16"/>
    <w:rsid w:val="00B07780"/>
    <w:rsid w:val="00B07DF6"/>
    <w:rsid w:val="00B1009D"/>
    <w:rsid w:val="00B10299"/>
    <w:rsid w:val="00B10939"/>
    <w:rsid w:val="00B10974"/>
    <w:rsid w:val="00B10EFC"/>
    <w:rsid w:val="00B11BD7"/>
    <w:rsid w:val="00B12725"/>
    <w:rsid w:val="00B12984"/>
    <w:rsid w:val="00B129AF"/>
    <w:rsid w:val="00B13183"/>
    <w:rsid w:val="00B131CE"/>
    <w:rsid w:val="00B13305"/>
    <w:rsid w:val="00B13B41"/>
    <w:rsid w:val="00B142FC"/>
    <w:rsid w:val="00B14D96"/>
    <w:rsid w:val="00B15FF7"/>
    <w:rsid w:val="00B16406"/>
    <w:rsid w:val="00B16632"/>
    <w:rsid w:val="00B1663B"/>
    <w:rsid w:val="00B16CD6"/>
    <w:rsid w:val="00B1742B"/>
    <w:rsid w:val="00B17A2E"/>
    <w:rsid w:val="00B202D0"/>
    <w:rsid w:val="00B2044A"/>
    <w:rsid w:val="00B20972"/>
    <w:rsid w:val="00B20AD2"/>
    <w:rsid w:val="00B20C13"/>
    <w:rsid w:val="00B213A2"/>
    <w:rsid w:val="00B21533"/>
    <w:rsid w:val="00B21582"/>
    <w:rsid w:val="00B2223A"/>
    <w:rsid w:val="00B225C4"/>
    <w:rsid w:val="00B22655"/>
    <w:rsid w:val="00B22688"/>
    <w:rsid w:val="00B23341"/>
    <w:rsid w:val="00B23DAE"/>
    <w:rsid w:val="00B24D13"/>
    <w:rsid w:val="00B2530C"/>
    <w:rsid w:val="00B25D1B"/>
    <w:rsid w:val="00B25DCD"/>
    <w:rsid w:val="00B26280"/>
    <w:rsid w:val="00B26416"/>
    <w:rsid w:val="00B264F4"/>
    <w:rsid w:val="00B26A11"/>
    <w:rsid w:val="00B26BB4"/>
    <w:rsid w:val="00B275F7"/>
    <w:rsid w:val="00B2781E"/>
    <w:rsid w:val="00B27D19"/>
    <w:rsid w:val="00B30151"/>
    <w:rsid w:val="00B302BB"/>
    <w:rsid w:val="00B30E89"/>
    <w:rsid w:val="00B315CB"/>
    <w:rsid w:val="00B325AE"/>
    <w:rsid w:val="00B33AF0"/>
    <w:rsid w:val="00B340A8"/>
    <w:rsid w:val="00B340DD"/>
    <w:rsid w:val="00B34A72"/>
    <w:rsid w:val="00B3546F"/>
    <w:rsid w:val="00B35608"/>
    <w:rsid w:val="00B362A4"/>
    <w:rsid w:val="00B365EF"/>
    <w:rsid w:val="00B402BA"/>
    <w:rsid w:val="00B405BD"/>
    <w:rsid w:val="00B40768"/>
    <w:rsid w:val="00B4100A"/>
    <w:rsid w:val="00B412E4"/>
    <w:rsid w:val="00B41C0C"/>
    <w:rsid w:val="00B4231A"/>
    <w:rsid w:val="00B4252E"/>
    <w:rsid w:val="00B42840"/>
    <w:rsid w:val="00B429EF"/>
    <w:rsid w:val="00B42E39"/>
    <w:rsid w:val="00B433AC"/>
    <w:rsid w:val="00B438E9"/>
    <w:rsid w:val="00B43E5B"/>
    <w:rsid w:val="00B44314"/>
    <w:rsid w:val="00B44EAE"/>
    <w:rsid w:val="00B4508F"/>
    <w:rsid w:val="00B4572C"/>
    <w:rsid w:val="00B4585C"/>
    <w:rsid w:val="00B458B5"/>
    <w:rsid w:val="00B459BE"/>
    <w:rsid w:val="00B45B22"/>
    <w:rsid w:val="00B46429"/>
    <w:rsid w:val="00B46FEB"/>
    <w:rsid w:val="00B47126"/>
    <w:rsid w:val="00B47507"/>
    <w:rsid w:val="00B47BAD"/>
    <w:rsid w:val="00B47E75"/>
    <w:rsid w:val="00B5000D"/>
    <w:rsid w:val="00B504C7"/>
    <w:rsid w:val="00B504EC"/>
    <w:rsid w:val="00B50773"/>
    <w:rsid w:val="00B509B1"/>
    <w:rsid w:val="00B50C79"/>
    <w:rsid w:val="00B50F03"/>
    <w:rsid w:val="00B51588"/>
    <w:rsid w:val="00B517EB"/>
    <w:rsid w:val="00B51C77"/>
    <w:rsid w:val="00B524F4"/>
    <w:rsid w:val="00B528EF"/>
    <w:rsid w:val="00B52B7A"/>
    <w:rsid w:val="00B52E55"/>
    <w:rsid w:val="00B53049"/>
    <w:rsid w:val="00B534A5"/>
    <w:rsid w:val="00B53B44"/>
    <w:rsid w:val="00B54121"/>
    <w:rsid w:val="00B54FC0"/>
    <w:rsid w:val="00B55761"/>
    <w:rsid w:val="00B558A8"/>
    <w:rsid w:val="00B558DF"/>
    <w:rsid w:val="00B55AFB"/>
    <w:rsid w:val="00B55FA4"/>
    <w:rsid w:val="00B56218"/>
    <w:rsid w:val="00B56FEA"/>
    <w:rsid w:val="00B57168"/>
    <w:rsid w:val="00B57D1D"/>
    <w:rsid w:val="00B607FB"/>
    <w:rsid w:val="00B60FD6"/>
    <w:rsid w:val="00B611E2"/>
    <w:rsid w:val="00B61960"/>
    <w:rsid w:val="00B61971"/>
    <w:rsid w:val="00B62E50"/>
    <w:rsid w:val="00B6320E"/>
    <w:rsid w:val="00B635BB"/>
    <w:rsid w:val="00B63E28"/>
    <w:rsid w:val="00B63F0B"/>
    <w:rsid w:val="00B642D7"/>
    <w:rsid w:val="00B64988"/>
    <w:rsid w:val="00B65340"/>
    <w:rsid w:val="00B65C3B"/>
    <w:rsid w:val="00B6795D"/>
    <w:rsid w:val="00B67BF3"/>
    <w:rsid w:val="00B705FB"/>
    <w:rsid w:val="00B70ECE"/>
    <w:rsid w:val="00B71B93"/>
    <w:rsid w:val="00B71E8C"/>
    <w:rsid w:val="00B7221D"/>
    <w:rsid w:val="00B724CD"/>
    <w:rsid w:val="00B7251D"/>
    <w:rsid w:val="00B73FE1"/>
    <w:rsid w:val="00B741D4"/>
    <w:rsid w:val="00B744D9"/>
    <w:rsid w:val="00B74836"/>
    <w:rsid w:val="00B74AB8"/>
    <w:rsid w:val="00B750C3"/>
    <w:rsid w:val="00B758D4"/>
    <w:rsid w:val="00B75BDD"/>
    <w:rsid w:val="00B75DD9"/>
    <w:rsid w:val="00B76222"/>
    <w:rsid w:val="00B76CD3"/>
    <w:rsid w:val="00B77215"/>
    <w:rsid w:val="00B77C87"/>
    <w:rsid w:val="00B80578"/>
    <w:rsid w:val="00B8096C"/>
    <w:rsid w:val="00B8168F"/>
    <w:rsid w:val="00B81CEF"/>
    <w:rsid w:val="00B81F78"/>
    <w:rsid w:val="00B8237A"/>
    <w:rsid w:val="00B82BA4"/>
    <w:rsid w:val="00B83383"/>
    <w:rsid w:val="00B835F0"/>
    <w:rsid w:val="00B84764"/>
    <w:rsid w:val="00B849E9"/>
    <w:rsid w:val="00B84B61"/>
    <w:rsid w:val="00B852D5"/>
    <w:rsid w:val="00B855EF"/>
    <w:rsid w:val="00B85EB1"/>
    <w:rsid w:val="00B86A69"/>
    <w:rsid w:val="00B86D0E"/>
    <w:rsid w:val="00B86FDE"/>
    <w:rsid w:val="00B87006"/>
    <w:rsid w:val="00B87223"/>
    <w:rsid w:val="00B878E8"/>
    <w:rsid w:val="00B90184"/>
    <w:rsid w:val="00B90FA4"/>
    <w:rsid w:val="00B9100F"/>
    <w:rsid w:val="00B9149C"/>
    <w:rsid w:val="00B916E2"/>
    <w:rsid w:val="00B921EA"/>
    <w:rsid w:val="00B92822"/>
    <w:rsid w:val="00B92C71"/>
    <w:rsid w:val="00B92EDA"/>
    <w:rsid w:val="00B92FF3"/>
    <w:rsid w:val="00B93176"/>
    <w:rsid w:val="00B934A0"/>
    <w:rsid w:val="00B9381B"/>
    <w:rsid w:val="00B93821"/>
    <w:rsid w:val="00B93A88"/>
    <w:rsid w:val="00B93DA5"/>
    <w:rsid w:val="00B93DE3"/>
    <w:rsid w:val="00B9457E"/>
    <w:rsid w:val="00B9461E"/>
    <w:rsid w:val="00B950A1"/>
    <w:rsid w:val="00B951A8"/>
    <w:rsid w:val="00B95223"/>
    <w:rsid w:val="00B9578B"/>
    <w:rsid w:val="00B95F7B"/>
    <w:rsid w:val="00B974B1"/>
    <w:rsid w:val="00B97BF9"/>
    <w:rsid w:val="00B97C2A"/>
    <w:rsid w:val="00B97D26"/>
    <w:rsid w:val="00BA03F0"/>
    <w:rsid w:val="00BA046F"/>
    <w:rsid w:val="00BA04C4"/>
    <w:rsid w:val="00BA0CB9"/>
    <w:rsid w:val="00BA0D7A"/>
    <w:rsid w:val="00BA17D0"/>
    <w:rsid w:val="00BA26B0"/>
    <w:rsid w:val="00BA299C"/>
    <w:rsid w:val="00BA2C5D"/>
    <w:rsid w:val="00BA2DEE"/>
    <w:rsid w:val="00BA2F5A"/>
    <w:rsid w:val="00BA3515"/>
    <w:rsid w:val="00BA3FD6"/>
    <w:rsid w:val="00BA48B2"/>
    <w:rsid w:val="00BA4F0A"/>
    <w:rsid w:val="00BA5DDA"/>
    <w:rsid w:val="00BA60E9"/>
    <w:rsid w:val="00BA632F"/>
    <w:rsid w:val="00BA676F"/>
    <w:rsid w:val="00BA772A"/>
    <w:rsid w:val="00BA7732"/>
    <w:rsid w:val="00BA7929"/>
    <w:rsid w:val="00BB010A"/>
    <w:rsid w:val="00BB034D"/>
    <w:rsid w:val="00BB10DD"/>
    <w:rsid w:val="00BB1850"/>
    <w:rsid w:val="00BB1BA5"/>
    <w:rsid w:val="00BB1E19"/>
    <w:rsid w:val="00BB20C3"/>
    <w:rsid w:val="00BB214D"/>
    <w:rsid w:val="00BB26DD"/>
    <w:rsid w:val="00BB26F9"/>
    <w:rsid w:val="00BB2B20"/>
    <w:rsid w:val="00BB2DE9"/>
    <w:rsid w:val="00BB2F33"/>
    <w:rsid w:val="00BB3D61"/>
    <w:rsid w:val="00BB400E"/>
    <w:rsid w:val="00BB4552"/>
    <w:rsid w:val="00BB4D73"/>
    <w:rsid w:val="00BB4D87"/>
    <w:rsid w:val="00BB4F7F"/>
    <w:rsid w:val="00BB5A2A"/>
    <w:rsid w:val="00BB5BF9"/>
    <w:rsid w:val="00BB6899"/>
    <w:rsid w:val="00BB6FD4"/>
    <w:rsid w:val="00BB7874"/>
    <w:rsid w:val="00BB7D21"/>
    <w:rsid w:val="00BB7F19"/>
    <w:rsid w:val="00BC0744"/>
    <w:rsid w:val="00BC09EB"/>
    <w:rsid w:val="00BC0B40"/>
    <w:rsid w:val="00BC185F"/>
    <w:rsid w:val="00BC22F3"/>
    <w:rsid w:val="00BC23DE"/>
    <w:rsid w:val="00BC2B38"/>
    <w:rsid w:val="00BC38C0"/>
    <w:rsid w:val="00BC3E48"/>
    <w:rsid w:val="00BC3FE6"/>
    <w:rsid w:val="00BC443B"/>
    <w:rsid w:val="00BC472C"/>
    <w:rsid w:val="00BC47CF"/>
    <w:rsid w:val="00BC47E4"/>
    <w:rsid w:val="00BC4816"/>
    <w:rsid w:val="00BC4BFC"/>
    <w:rsid w:val="00BC5101"/>
    <w:rsid w:val="00BC5189"/>
    <w:rsid w:val="00BC5284"/>
    <w:rsid w:val="00BC55F2"/>
    <w:rsid w:val="00BC6158"/>
    <w:rsid w:val="00BC72D4"/>
    <w:rsid w:val="00BC7E49"/>
    <w:rsid w:val="00BD024A"/>
    <w:rsid w:val="00BD1200"/>
    <w:rsid w:val="00BD173C"/>
    <w:rsid w:val="00BD17DA"/>
    <w:rsid w:val="00BD2B44"/>
    <w:rsid w:val="00BD2C64"/>
    <w:rsid w:val="00BD3FB1"/>
    <w:rsid w:val="00BD4CD8"/>
    <w:rsid w:val="00BD5C07"/>
    <w:rsid w:val="00BD5CFB"/>
    <w:rsid w:val="00BD6492"/>
    <w:rsid w:val="00BD70C6"/>
    <w:rsid w:val="00BD761B"/>
    <w:rsid w:val="00BD7CE5"/>
    <w:rsid w:val="00BE0629"/>
    <w:rsid w:val="00BE17FD"/>
    <w:rsid w:val="00BE1A84"/>
    <w:rsid w:val="00BE1F43"/>
    <w:rsid w:val="00BE2794"/>
    <w:rsid w:val="00BE3D39"/>
    <w:rsid w:val="00BE3DC2"/>
    <w:rsid w:val="00BE5299"/>
    <w:rsid w:val="00BE589E"/>
    <w:rsid w:val="00BE58DB"/>
    <w:rsid w:val="00BE7136"/>
    <w:rsid w:val="00BF0FD4"/>
    <w:rsid w:val="00BF1523"/>
    <w:rsid w:val="00BF2242"/>
    <w:rsid w:val="00BF2298"/>
    <w:rsid w:val="00BF308D"/>
    <w:rsid w:val="00BF361E"/>
    <w:rsid w:val="00BF41CD"/>
    <w:rsid w:val="00BF420A"/>
    <w:rsid w:val="00BF4853"/>
    <w:rsid w:val="00BF4BB3"/>
    <w:rsid w:val="00BF51D0"/>
    <w:rsid w:val="00BF57E0"/>
    <w:rsid w:val="00BF6651"/>
    <w:rsid w:val="00BF6E00"/>
    <w:rsid w:val="00C00C5D"/>
    <w:rsid w:val="00C013A1"/>
    <w:rsid w:val="00C02025"/>
    <w:rsid w:val="00C02146"/>
    <w:rsid w:val="00C023A3"/>
    <w:rsid w:val="00C027C4"/>
    <w:rsid w:val="00C02D04"/>
    <w:rsid w:val="00C03766"/>
    <w:rsid w:val="00C03E22"/>
    <w:rsid w:val="00C040D3"/>
    <w:rsid w:val="00C04155"/>
    <w:rsid w:val="00C047EC"/>
    <w:rsid w:val="00C0521E"/>
    <w:rsid w:val="00C0539F"/>
    <w:rsid w:val="00C0558C"/>
    <w:rsid w:val="00C055B2"/>
    <w:rsid w:val="00C0583B"/>
    <w:rsid w:val="00C06036"/>
    <w:rsid w:val="00C063E7"/>
    <w:rsid w:val="00C06468"/>
    <w:rsid w:val="00C06516"/>
    <w:rsid w:val="00C075C9"/>
    <w:rsid w:val="00C07F6B"/>
    <w:rsid w:val="00C106AE"/>
    <w:rsid w:val="00C10812"/>
    <w:rsid w:val="00C10893"/>
    <w:rsid w:val="00C10BC0"/>
    <w:rsid w:val="00C10C83"/>
    <w:rsid w:val="00C1127B"/>
    <w:rsid w:val="00C114F1"/>
    <w:rsid w:val="00C11AFB"/>
    <w:rsid w:val="00C11E4A"/>
    <w:rsid w:val="00C123D6"/>
    <w:rsid w:val="00C12751"/>
    <w:rsid w:val="00C1327B"/>
    <w:rsid w:val="00C13D16"/>
    <w:rsid w:val="00C14441"/>
    <w:rsid w:val="00C144F8"/>
    <w:rsid w:val="00C14C98"/>
    <w:rsid w:val="00C159B0"/>
    <w:rsid w:val="00C16338"/>
    <w:rsid w:val="00C16FDB"/>
    <w:rsid w:val="00C17117"/>
    <w:rsid w:val="00C1728B"/>
    <w:rsid w:val="00C20CAB"/>
    <w:rsid w:val="00C210E7"/>
    <w:rsid w:val="00C21736"/>
    <w:rsid w:val="00C2294C"/>
    <w:rsid w:val="00C22C5E"/>
    <w:rsid w:val="00C22F0E"/>
    <w:rsid w:val="00C22F6A"/>
    <w:rsid w:val="00C22FC5"/>
    <w:rsid w:val="00C23A34"/>
    <w:rsid w:val="00C24152"/>
    <w:rsid w:val="00C2430C"/>
    <w:rsid w:val="00C24457"/>
    <w:rsid w:val="00C248C6"/>
    <w:rsid w:val="00C24917"/>
    <w:rsid w:val="00C25195"/>
    <w:rsid w:val="00C25374"/>
    <w:rsid w:val="00C2591C"/>
    <w:rsid w:val="00C25DC8"/>
    <w:rsid w:val="00C26193"/>
    <w:rsid w:val="00C261B1"/>
    <w:rsid w:val="00C26F4F"/>
    <w:rsid w:val="00C26FDD"/>
    <w:rsid w:val="00C27176"/>
    <w:rsid w:val="00C278FC"/>
    <w:rsid w:val="00C27B7E"/>
    <w:rsid w:val="00C30555"/>
    <w:rsid w:val="00C30AD5"/>
    <w:rsid w:val="00C30DD3"/>
    <w:rsid w:val="00C30EF5"/>
    <w:rsid w:val="00C30F23"/>
    <w:rsid w:val="00C30FDC"/>
    <w:rsid w:val="00C3101A"/>
    <w:rsid w:val="00C313D9"/>
    <w:rsid w:val="00C31B70"/>
    <w:rsid w:val="00C31C12"/>
    <w:rsid w:val="00C31DA7"/>
    <w:rsid w:val="00C31F9A"/>
    <w:rsid w:val="00C3239A"/>
    <w:rsid w:val="00C3379D"/>
    <w:rsid w:val="00C3473A"/>
    <w:rsid w:val="00C348CE"/>
    <w:rsid w:val="00C34A38"/>
    <w:rsid w:val="00C34AD0"/>
    <w:rsid w:val="00C34BDF"/>
    <w:rsid w:val="00C35107"/>
    <w:rsid w:val="00C35624"/>
    <w:rsid w:val="00C35633"/>
    <w:rsid w:val="00C35E52"/>
    <w:rsid w:val="00C3656F"/>
    <w:rsid w:val="00C374D0"/>
    <w:rsid w:val="00C40707"/>
    <w:rsid w:val="00C40748"/>
    <w:rsid w:val="00C40D09"/>
    <w:rsid w:val="00C40D1B"/>
    <w:rsid w:val="00C41027"/>
    <w:rsid w:val="00C41501"/>
    <w:rsid w:val="00C4206F"/>
    <w:rsid w:val="00C424AB"/>
    <w:rsid w:val="00C42F92"/>
    <w:rsid w:val="00C42FBC"/>
    <w:rsid w:val="00C44102"/>
    <w:rsid w:val="00C44189"/>
    <w:rsid w:val="00C44305"/>
    <w:rsid w:val="00C446B0"/>
    <w:rsid w:val="00C44958"/>
    <w:rsid w:val="00C45EC1"/>
    <w:rsid w:val="00C46C4A"/>
    <w:rsid w:val="00C46E6A"/>
    <w:rsid w:val="00C46EFD"/>
    <w:rsid w:val="00C470C5"/>
    <w:rsid w:val="00C47264"/>
    <w:rsid w:val="00C5003A"/>
    <w:rsid w:val="00C506F4"/>
    <w:rsid w:val="00C50A60"/>
    <w:rsid w:val="00C51714"/>
    <w:rsid w:val="00C51F88"/>
    <w:rsid w:val="00C52131"/>
    <w:rsid w:val="00C523F2"/>
    <w:rsid w:val="00C524EC"/>
    <w:rsid w:val="00C52E68"/>
    <w:rsid w:val="00C52EA4"/>
    <w:rsid w:val="00C53742"/>
    <w:rsid w:val="00C53850"/>
    <w:rsid w:val="00C540BB"/>
    <w:rsid w:val="00C544D3"/>
    <w:rsid w:val="00C547ED"/>
    <w:rsid w:val="00C54C03"/>
    <w:rsid w:val="00C54DBC"/>
    <w:rsid w:val="00C55144"/>
    <w:rsid w:val="00C55CA2"/>
    <w:rsid w:val="00C5618B"/>
    <w:rsid w:val="00C56A78"/>
    <w:rsid w:val="00C57593"/>
    <w:rsid w:val="00C575DA"/>
    <w:rsid w:val="00C57E03"/>
    <w:rsid w:val="00C57E39"/>
    <w:rsid w:val="00C57FCB"/>
    <w:rsid w:val="00C602AD"/>
    <w:rsid w:val="00C60378"/>
    <w:rsid w:val="00C605F8"/>
    <w:rsid w:val="00C60FAF"/>
    <w:rsid w:val="00C613B5"/>
    <w:rsid w:val="00C61886"/>
    <w:rsid w:val="00C61E22"/>
    <w:rsid w:val="00C63E33"/>
    <w:rsid w:val="00C63F4C"/>
    <w:rsid w:val="00C650A8"/>
    <w:rsid w:val="00C6562F"/>
    <w:rsid w:val="00C65CC4"/>
    <w:rsid w:val="00C65D36"/>
    <w:rsid w:val="00C663FF"/>
    <w:rsid w:val="00C669A7"/>
    <w:rsid w:val="00C66FBE"/>
    <w:rsid w:val="00C67450"/>
    <w:rsid w:val="00C67A07"/>
    <w:rsid w:val="00C67C0D"/>
    <w:rsid w:val="00C706CD"/>
    <w:rsid w:val="00C7078E"/>
    <w:rsid w:val="00C709DA"/>
    <w:rsid w:val="00C7134C"/>
    <w:rsid w:val="00C71695"/>
    <w:rsid w:val="00C7183A"/>
    <w:rsid w:val="00C7217A"/>
    <w:rsid w:val="00C7253C"/>
    <w:rsid w:val="00C72CAD"/>
    <w:rsid w:val="00C73D02"/>
    <w:rsid w:val="00C73F5A"/>
    <w:rsid w:val="00C746F7"/>
    <w:rsid w:val="00C749EC"/>
    <w:rsid w:val="00C74B77"/>
    <w:rsid w:val="00C74D38"/>
    <w:rsid w:val="00C75099"/>
    <w:rsid w:val="00C75461"/>
    <w:rsid w:val="00C75E08"/>
    <w:rsid w:val="00C7627B"/>
    <w:rsid w:val="00C76362"/>
    <w:rsid w:val="00C767D9"/>
    <w:rsid w:val="00C76C31"/>
    <w:rsid w:val="00C774EB"/>
    <w:rsid w:val="00C77F00"/>
    <w:rsid w:val="00C80813"/>
    <w:rsid w:val="00C80DFE"/>
    <w:rsid w:val="00C81560"/>
    <w:rsid w:val="00C824CE"/>
    <w:rsid w:val="00C82864"/>
    <w:rsid w:val="00C83707"/>
    <w:rsid w:val="00C83791"/>
    <w:rsid w:val="00C83F09"/>
    <w:rsid w:val="00C850BA"/>
    <w:rsid w:val="00C86EBB"/>
    <w:rsid w:val="00C86F41"/>
    <w:rsid w:val="00C86FA5"/>
    <w:rsid w:val="00C87B85"/>
    <w:rsid w:val="00C87C31"/>
    <w:rsid w:val="00C90EE0"/>
    <w:rsid w:val="00C91D5D"/>
    <w:rsid w:val="00C920AE"/>
    <w:rsid w:val="00C935E7"/>
    <w:rsid w:val="00C93D42"/>
    <w:rsid w:val="00C93EA3"/>
    <w:rsid w:val="00C94337"/>
    <w:rsid w:val="00C9452B"/>
    <w:rsid w:val="00C947E0"/>
    <w:rsid w:val="00C960EB"/>
    <w:rsid w:val="00C969B3"/>
    <w:rsid w:val="00C96C0D"/>
    <w:rsid w:val="00C973C6"/>
    <w:rsid w:val="00C97641"/>
    <w:rsid w:val="00C977F2"/>
    <w:rsid w:val="00C97B23"/>
    <w:rsid w:val="00C97CE0"/>
    <w:rsid w:val="00C97D65"/>
    <w:rsid w:val="00CA0931"/>
    <w:rsid w:val="00CA0E8F"/>
    <w:rsid w:val="00CA16BE"/>
    <w:rsid w:val="00CA1921"/>
    <w:rsid w:val="00CA1C6B"/>
    <w:rsid w:val="00CA1F06"/>
    <w:rsid w:val="00CA2E94"/>
    <w:rsid w:val="00CA31A5"/>
    <w:rsid w:val="00CA3209"/>
    <w:rsid w:val="00CA3590"/>
    <w:rsid w:val="00CA43E1"/>
    <w:rsid w:val="00CA4603"/>
    <w:rsid w:val="00CA460C"/>
    <w:rsid w:val="00CA4AEB"/>
    <w:rsid w:val="00CA4D46"/>
    <w:rsid w:val="00CA5035"/>
    <w:rsid w:val="00CA533C"/>
    <w:rsid w:val="00CA583E"/>
    <w:rsid w:val="00CA6B12"/>
    <w:rsid w:val="00CA6C78"/>
    <w:rsid w:val="00CA6E86"/>
    <w:rsid w:val="00CA7475"/>
    <w:rsid w:val="00CA7615"/>
    <w:rsid w:val="00CA7C18"/>
    <w:rsid w:val="00CB0236"/>
    <w:rsid w:val="00CB0338"/>
    <w:rsid w:val="00CB0643"/>
    <w:rsid w:val="00CB1316"/>
    <w:rsid w:val="00CB154B"/>
    <w:rsid w:val="00CB1DD1"/>
    <w:rsid w:val="00CB1E6D"/>
    <w:rsid w:val="00CB224E"/>
    <w:rsid w:val="00CB232F"/>
    <w:rsid w:val="00CB23FB"/>
    <w:rsid w:val="00CB27A4"/>
    <w:rsid w:val="00CB27A6"/>
    <w:rsid w:val="00CB2A3D"/>
    <w:rsid w:val="00CB2DF0"/>
    <w:rsid w:val="00CB3340"/>
    <w:rsid w:val="00CB3414"/>
    <w:rsid w:val="00CB3828"/>
    <w:rsid w:val="00CB435E"/>
    <w:rsid w:val="00CB58D1"/>
    <w:rsid w:val="00CB5B07"/>
    <w:rsid w:val="00CB5E67"/>
    <w:rsid w:val="00CB6227"/>
    <w:rsid w:val="00CB6D8A"/>
    <w:rsid w:val="00CC0134"/>
    <w:rsid w:val="00CC0898"/>
    <w:rsid w:val="00CC0E72"/>
    <w:rsid w:val="00CC0F21"/>
    <w:rsid w:val="00CC158B"/>
    <w:rsid w:val="00CC1C48"/>
    <w:rsid w:val="00CC1E16"/>
    <w:rsid w:val="00CC2CEA"/>
    <w:rsid w:val="00CC2D6D"/>
    <w:rsid w:val="00CC2DC6"/>
    <w:rsid w:val="00CC3B81"/>
    <w:rsid w:val="00CC3C40"/>
    <w:rsid w:val="00CC3CC1"/>
    <w:rsid w:val="00CC3D8E"/>
    <w:rsid w:val="00CC3F4C"/>
    <w:rsid w:val="00CC3FFE"/>
    <w:rsid w:val="00CC402F"/>
    <w:rsid w:val="00CC49E5"/>
    <w:rsid w:val="00CC5EAB"/>
    <w:rsid w:val="00CC606D"/>
    <w:rsid w:val="00CC6BF9"/>
    <w:rsid w:val="00CC750A"/>
    <w:rsid w:val="00CD082E"/>
    <w:rsid w:val="00CD0B75"/>
    <w:rsid w:val="00CD0C55"/>
    <w:rsid w:val="00CD13F1"/>
    <w:rsid w:val="00CD18AC"/>
    <w:rsid w:val="00CD1EA4"/>
    <w:rsid w:val="00CD31F5"/>
    <w:rsid w:val="00CD3BC1"/>
    <w:rsid w:val="00CD4356"/>
    <w:rsid w:val="00CD46CE"/>
    <w:rsid w:val="00CD4A66"/>
    <w:rsid w:val="00CD5A60"/>
    <w:rsid w:val="00CD658B"/>
    <w:rsid w:val="00CD6A1F"/>
    <w:rsid w:val="00CD7666"/>
    <w:rsid w:val="00CD781C"/>
    <w:rsid w:val="00CE06ED"/>
    <w:rsid w:val="00CE08AD"/>
    <w:rsid w:val="00CE1473"/>
    <w:rsid w:val="00CE1825"/>
    <w:rsid w:val="00CE1A9B"/>
    <w:rsid w:val="00CE2491"/>
    <w:rsid w:val="00CE429C"/>
    <w:rsid w:val="00CE4AEF"/>
    <w:rsid w:val="00CE502D"/>
    <w:rsid w:val="00CE50C2"/>
    <w:rsid w:val="00CE50F0"/>
    <w:rsid w:val="00CE5141"/>
    <w:rsid w:val="00CE5303"/>
    <w:rsid w:val="00CE5964"/>
    <w:rsid w:val="00CE640C"/>
    <w:rsid w:val="00CE74EA"/>
    <w:rsid w:val="00CE7558"/>
    <w:rsid w:val="00CE75B4"/>
    <w:rsid w:val="00CE7752"/>
    <w:rsid w:val="00CE7DEC"/>
    <w:rsid w:val="00CF053C"/>
    <w:rsid w:val="00CF0773"/>
    <w:rsid w:val="00CF129F"/>
    <w:rsid w:val="00CF131B"/>
    <w:rsid w:val="00CF1CAF"/>
    <w:rsid w:val="00CF1D35"/>
    <w:rsid w:val="00CF244A"/>
    <w:rsid w:val="00CF2656"/>
    <w:rsid w:val="00CF2A12"/>
    <w:rsid w:val="00CF43B3"/>
    <w:rsid w:val="00CF4487"/>
    <w:rsid w:val="00CF454C"/>
    <w:rsid w:val="00CF5989"/>
    <w:rsid w:val="00CF5E76"/>
    <w:rsid w:val="00CF5EE4"/>
    <w:rsid w:val="00CF646A"/>
    <w:rsid w:val="00CF6B51"/>
    <w:rsid w:val="00CF7100"/>
    <w:rsid w:val="00CF7491"/>
    <w:rsid w:val="00CF790E"/>
    <w:rsid w:val="00D0063E"/>
    <w:rsid w:val="00D01E7F"/>
    <w:rsid w:val="00D02219"/>
    <w:rsid w:val="00D02E8D"/>
    <w:rsid w:val="00D03459"/>
    <w:rsid w:val="00D036CC"/>
    <w:rsid w:val="00D036E1"/>
    <w:rsid w:val="00D03954"/>
    <w:rsid w:val="00D039E9"/>
    <w:rsid w:val="00D03CB3"/>
    <w:rsid w:val="00D05083"/>
    <w:rsid w:val="00D059D7"/>
    <w:rsid w:val="00D064C9"/>
    <w:rsid w:val="00D065D5"/>
    <w:rsid w:val="00D06708"/>
    <w:rsid w:val="00D07DBD"/>
    <w:rsid w:val="00D11BF7"/>
    <w:rsid w:val="00D11DFA"/>
    <w:rsid w:val="00D1235A"/>
    <w:rsid w:val="00D126F0"/>
    <w:rsid w:val="00D129E0"/>
    <w:rsid w:val="00D13685"/>
    <w:rsid w:val="00D13CE7"/>
    <w:rsid w:val="00D13F78"/>
    <w:rsid w:val="00D13FD8"/>
    <w:rsid w:val="00D1435A"/>
    <w:rsid w:val="00D143A1"/>
    <w:rsid w:val="00D14BD9"/>
    <w:rsid w:val="00D14CCA"/>
    <w:rsid w:val="00D14CDD"/>
    <w:rsid w:val="00D15987"/>
    <w:rsid w:val="00D16D77"/>
    <w:rsid w:val="00D173C0"/>
    <w:rsid w:val="00D17C59"/>
    <w:rsid w:val="00D17D01"/>
    <w:rsid w:val="00D200E6"/>
    <w:rsid w:val="00D207CA"/>
    <w:rsid w:val="00D20C32"/>
    <w:rsid w:val="00D210A3"/>
    <w:rsid w:val="00D21B6C"/>
    <w:rsid w:val="00D21F05"/>
    <w:rsid w:val="00D220B4"/>
    <w:rsid w:val="00D25331"/>
    <w:rsid w:val="00D253FC"/>
    <w:rsid w:val="00D25DBE"/>
    <w:rsid w:val="00D25F0A"/>
    <w:rsid w:val="00D26182"/>
    <w:rsid w:val="00D263D9"/>
    <w:rsid w:val="00D26F52"/>
    <w:rsid w:val="00D27887"/>
    <w:rsid w:val="00D2797C"/>
    <w:rsid w:val="00D27DA3"/>
    <w:rsid w:val="00D304DB"/>
    <w:rsid w:val="00D306BB"/>
    <w:rsid w:val="00D310CD"/>
    <w:rsid w:val="00D313AB"/>
    <w:rsid w:val="00D31B73"/>
    <w:rsid w:val="00D322F9"/>
    <w:rsid w:val="00D3237A"/>
    <w:rsid w:val="00D32432"/>
    <w:rsid w:val="00D32997"/>
    <w:rsid w:val="00D32E1E"/>
    <w:rsid w:val="00D33182"/>
    <w:rsid w:val="00D35421"/>
    <w:rsid w:val="00D35E70"/>
    <w:rsid w:val="00D36B7E"/>
    <w:rsid w:val="00D3763A"/>
    <w:rsid w:val="00D37D1F"/>
    <w:rsid w:val="00D40461"/>
    <w:rsid w:val="00D41201"/>
    <w:rsid w:val="00D4229C"/>
    <w:rsid w:val="00D422AA"/>
    <w:rsid w:val="00D426FD"/>
    <w:rsid w:val="00D43235"/>
    <w:rsid w:val="00D435F6"/>
    <w:rsid w:val="00D43639"/>
    <w:rsid w:val="00D43748"/>
    <w:rsid w:val="00D44225"/>
    <w:rsid w:val="00D444B0"/>
    <w:rsid w:val="00D44923"/>
    <w:rsid w:val="00D44B37"/>
    <w:rsid w:val="00D450A6"/>
    <w:rsid w:val="00D46026"/>
    <w:rsid w:val="00D46122"/>
    <w:rsid w:val="00D46DF0"/>
    <w:rsid w:val="00D46EF5"/>
    <w:rsid w:val="00D50600"/>
    <w:rsid w:val="00D5092D"/>
    <w:rsid w:val="00D50C6D"/>
    <w:rsid w:val="00D51318"/>
    <w:rsid w:val="00D51EF0"/>
    <w:rsid w:val="00D52E56"/>
    <w:rsid w:val="00D5351D"/>
    <w:rsid w:val="00D546F8"/>
    <w:rsid w:val="00D54B7C"/>
    <w:rsid w:val="00D55EBD"/>
    <w:rsid w:val="00D560FE"/>
    <w:rsid w:val="00D5655B"/>
    <w:rsid w:val="00D566E7"/>
    <w:rsid w:val="00D56A12"/>
    <w:rsid w:val="00D56DDC"/>
    <w:rsid w:val="00D572C1"/>
    <w:rsid w:val="00D609B5"/>
    <w:rsid w:val="00D61B65"/>
    <w:rsid w:val="00D6213B"/>
    <w:rsid w:val="00D6375D"/>
    <w:rsid w:val="00D63B52"/>
    <w:rsid w:val="00D63E1F"/>
    <w:rsid w:val="00D643BE"/>
    <w:rsid w:val="00D64413"/>
    <w:rsid w:val="00D6447A"/>
    <w:rsid w:val="00D644E1"/>
    <w:rsid w:val="00D64513"/>
    <w:rsid w:val="00D647CD"/>
    <w:rsid w:val="00D64CE5"/>
    <w:rsid w:val="00D66479"/>
    <w:rsid w:val="00D66928"/>
    <w:rsid w:val="00D66B3D"/>
    <w:rsid w:val="00D67DCC"/>
    <w:rsid w:val="00D694CA"/>
    <w:rsid w:val="00D704C2"/>
    <w:rsid w:val="00D707BC"/>
    <w:rsid w:val="00D708EC"/>
    <w:rsid w:val="00D71073"/>
    <w:rsid w:val="00D71125"/>
    <w:rsid w:val="00D713EF"/>
    <w:rsid w:val="00D71783"/>
    <w:rsid w:val="00D718A2"/>
    <w:rsid w:val="00D72711"/>
    <w:rsid w:val="00D72D3C"/>
    <w:rsid w:val="00D737D9"/>
    <w:rsid w:val="00D745C9"/>
    <w:rsid w:val="00D746F8"/>
    <w:rsid w:val="00D74B7A"/>
    <w:rsid w:val="00D7576B"/>
    <w:rsid w:val="00D75CE4"/>
    <w:rsid w:val="00D768F2"/>
    <w:rsid w:val="00D778A2"/>
    <w:rsid w:val="00D80A1B"/>
    <w:rsid w:val="00D80DE5"/>
    <w:rsid w:val="00D814B5"/>
    <w:rsid w:val="00D823AA"/>
    <w:rsid w:val="00D82421"/>
    <w:rsid w:val="00D8292C"/>
    <w:rsid w:val="00D8376F"/>
    <w:rsid w:val="00D83EF9"/>
    <w:rsid w:val="00D84560"/>
    <w:rsid w:val="00D84585"/>
    <w:rsid w:val="00D84A6E"/>
    <w:rsid w:val="00D851E4"/>
    <w:rsid w:val="00D854A5"/>
    <w:rsid w:val="00D85657"/>
    <w:rsid w:val="00D85A73"/>
    <w:rsid w:val="00D85DDE"/>
    <w:rsid w:val="00D85FDF"/>
    <w:rsid w:val="00D86F20"/>
    <w:rsid w:val="00D87D64"/>
    <w:rsid w:val="00D9027D"/>
    <w:rsid w:val="00D908CB"/>
    <w:rsid w:val="00D909EC"/>
    <w:rsid w:val="00D90A78"/>
    <w:rsid w:val="00D90BE5"/>
    <w:rsid w:val="00D90C3C"/>
    <w:rsid w:val="00D90F05"/>
    <w:rsid w:val="00D9182B"/>
    <w:rsid w:val="00D9251E"/>
    <w:rsid w:val="00D92906"/>
    <w:rsid w:val="00D929C9"/>
    <w:rsid w:val="00D92B40"/>
    <w:rsid w:val="00D92B88"/>
    <w:rsid w:val="00D92F6B"/>
    <w:rsid w:val="00D930F2"/>
    <w:rsid w:val="00D9316B"/>
    <w:rsid w:val="00D936C9"/>
    <w:rsid w:val="00D9372C"/>
    <w:rsid w:val="00D93C43"/>
    <w:rsid w:val="00D9403C"/>
    <w:rsid w:val="00D9416E"/>
    <w:rsid w:val="00D94619"/>
    <w:rsid w:val="00D95450"/>
    <w:rsid w:val="00D95BEF"/>
    <w:rsid w:val="00D95D6B"/>
    <w:rsid w:val="00D966E1"/>
    <w:rsid w:val="00D9693E"/>
    <w:rsid w:val="00DA16FA"/>
    <w:rsid w:val="00DA18C6"/>
    <w:rsid w:val="00DA21E6"/>
    <w:rsid w:val="00DA25FB"/>
    <w:rsid w:val="00DA2A85"/>
    <w:rsid w:val="00DA34F2"/>
    <w:rsid w:val="00DA3C02"/>
    <w:rsid w:val="00DA3D7D"/>
    <w:rsid w:val="00DA4A05"/>
    <w:rsid w:val="00DA5039"/>
    <w:rsid w:val="00DA54CA"/>
    <w:rsid w:val="00DA55B9"/>
    <w:rsid w:val="00DA59FE"/>
    <w:rsid w:val="00DA5B26"/>
    <w:rsid w:val="00DA5EB5"/>
    <w:rsid w:val="00DA5EC6"/>
    <w:rsid w:val="00DA62A2"/>
    <w:rsid w:val="00DA6DB7"/>
    <w:rsid w:val="00DA6E0F"/>
    <w:rsid w:val="00DA6E18"/>
    <w:rsid w:val="00DA78BD"/>
    <w:rsid w:val="00DA7983"/>
    <w:rsid w:val="00DA7F44"/>
    <w:rsid w:val="00DB05C0"/>
    <w:rsid w:val="00DB0799"/>
    <w:rsid w:val="00DB08E2"/>
    <w:rsid w:val="00DB1341"/>
    <w:rsid w:val="00DB1545"/>
    <w:rsid w:val="00DB2993"/>
    <w:rsid w:val="00DB30B2"/>
    <w:rsid w:val="00DB34DB"/>
    <w:rsid w:val="00DB3AC8"/>
    <w:rsid w:val="00DB3F8B"/>
    <w:rsid w:val="00DB4794"/>
    <w:rsid w:val="00DB4864"/>
    <w:rsid w:val="00DB4B66"/>
    <w:rsid w:val="00DB5833"/>
    <w:rsid w:val="00DB5AFB"/>
    <w:rsid w:val="00DB5DA8"/>
    <w:rsid w:val="00DB62DA"/>
    <w:rsid w:val="00DB6C70"/>
    <w:rsid w:val="00DB7B2B"/>
    <w:rsid w:val="00DB7C49"/>
    <w:rsid w:val="00DC00F1"/>
    <w:rsid w:val="00DC018F"/>
    <w:rsid w:val="00DC05C1"/>
    <w:rsid w:val="00DC0CB3"/>
    <w:rsid w:val="00DC0EB9"/>
    <w:rsid w:val="00DC1116"/>
    <w:rsid w:val="00DC128C"/>
    <w:rsid w:val="00DC1FB0"/>
    <w:rsid w:val="00DC22FD"/>
    <w:rsid w:val="00DC2E73"/>
    <w:rsid w:val="00DC30B7"/>
    <w:rsid w:val="00DC30DC"/>
    <w:rsid w:val="00DC31A9"/>
    <w:rsid w:val="00DC3322"/>
    <w:rsid w:val="00DC347D"/>
    <w:rsid w:val="00DC3903"/>
    <w:rsid w:val="00DC4068"/>
    <w:rsid w:val="00DC4C59"/>
    <w:rsid w:val="00DC584F"/>
    <w:rsid w:val="00DC599C"/>
    <w:rsid w:val="00DC6BB7"/>
    <w:rsid w:val="00DC6E8A"/>
    <w:rsid w:val="00DC6FD1"/>
    <w:rsid w:val="00DC7428"/>
    <w:rsid w:val="00DC76F7"/>
    <w:rsid w:val="00DC7988"/>
    <w:rsid w:val="00DC7A45"/>
    <w:rsid w:val="00DD004D"/>
    <w:rsid w:val="00DD0196"/>
    <w:rsid w:val="00DD05D8"/>
    <w:rsid w:val="00DD0C5C"/>
    <w:rsid w:val="00DD1431"/>
    <w:rsid w:val="00DD242B"/>
    <w:rsid w:val="00DD24D3"/>
    <w:rsid w:val="00DD28E1"/>
    <w:rsid w:val="00DD2BD5"/>
    <w:rsid w:val="00DD33A1"/>
    <w:rsid w:val="00DD38F2"/>
    <w:rsid w:val="00DD3D5B"/>
    <w:rsid w:val="00DD4B22"/>
    <w:rsid w:val="00DD4B76"/>
    <w:rsid w:val="00DD4BF4"/>
    <w:rsid w:val="00DD4D55"/>
    <w:rsid w:val="00DD4FDC"/>
    <w:rsid w:val="00DD519B"/>
    <w:rsid w:val="00DD5593"/>
    <w:rsid w:val="00DD5F04"/>
    <w:rsid w:val="00DD6888"/>
    <w:rsid w:val="00DD7E46"/>
    <w:rsid w:val="00DD7E91"/>
    <w:rsid w:val="00DE047A"/>
    <w:rsid w:val="00DE0E32"/>
    <w:rsid w:val="00DE0F0A"/>
    <w:rsid w:val="00DE1641"/>
    <w:rsid w:val="00DE25A5"/>
    <w:rsid w:val="00DE2AD6"/>
    <w:rsid w:val="00DE33CC"/>
    <w:rsid w:val="00DE33D0"/>
    <w:rsid w:val="00DE3B36"/>
    <w:rsid w:val="00DE3C78"/>
    <w:rsid w:val="00DE3FAA"/>
    <w:rsid w:val="00DE453A"/>
    <w:rsid w:val="00DE5789"/>
    <w:rsid w:val="00DE65E5"/>
    <w:rsid w:val="00DE66E6"/>
    <w:rsid w:val="00DE67F6"/>
    <w:rsid w:val="00DE7190"/>
    <w:rsid w:val="00DE7272"/>
    <w:rsid w:val="00DF0AED"/>
    <w:rsid w:val="00DF0D93"/>
    <w:rsid w:val="00DF0E59"/>
    <w:rsid w:val="00DF17E1"/>
    <w:rsid w:val="00DF1831"/>
    <w:rsid w:val="00DF186F"/>
    <w:rsid w:val="00DF1EC5"/>
    <w:rsid w:val="00DF2445"/>
    <w:rsid w:val="00DF2687"/>
    <w:rsid w:val="00DF2C55"/>
    <w:rsid w:val="00DF34EB"/>
    <w:rsid w:val="00DF42A4"/>
    <w:rsid w:val="00DF42F3"/>
    <w:rsid w:val="00DF4D28"/>
    <w:rsid w:val="00DF5377"/>
    <w:rsid w:val="00DF6A3A"/>
    <w:rsid w:val="00DF6FC5"/>
    <w:rsid w:val="00DF7A63"/>
    <w:rsid w:val="00DF7ABD"/>
    <w:rsid w:val="00DF7BB9"/>
    <w:rsid w:val="00DF7EA8"/>
    <w:rsid w:val="00E002A2"/>
    <w:rsid w:val="00E00478"/>
    <w:rsid w:val="00E00AFE"/>
    <w:rsid w:val="00E01152"/>
    <w:rsid w:val="00E01417"/>
    <w:rsid w:val="00E018E4"/>
    <w:rsid w:val="00E02003"/>
    <w:rsid w:val="00E023AC"/>
    <w:rsid w:val="00E026F2"/>
    <w:rsid w:val="00E02958"/>
    <w:rsid w:val="00E029F6"/>
    <w:rsid w:val="00E0375E"/>
    <w:rsid w:val="00E03E01"/>
    <w:rsid w:val="00E03EDD"/>
    <w:rsid w:val="00E04155"/>
    <w:rsid w:val="00E04185"/>
    <w:rsid w:val="00E04AC1"/>
    <w:rsid w:val="00E04CCC"/>
    <w:rsid w:val="00E05CA8"/>
    <w:rsid w:val="00E06086"/>
    <w:rsid w:val="00E06606"/>
    <w:rsid w:val="00E06F0F"/>
    <w:rsid w:val="00E06F6F"/>
    <w:rsid w:val="00E0740F"/>
    <w:rsid w:val="00E07B84"/>
    <w:rsid w:val="00E07E3E"/>
    <w:rsid w:val="00E1026A"/>
    <w:rsid w:val="00E10C4B"/>
    <w:rsid w:val="00E110E4"/>
    <w:rsid w:val="00E11994"/>
    <w:rsid w:val="00E119EB"/>
    <w:rsid w:val="00E12269"/>
    <w:rsid w:val="00E12529"/>
    <w:rsid w:val="00E12D34"/>
    <w:rsid w:val="00E131B4"/>
    <w:rsid w:val="00E131BE"/>
    <w:rsid w:val="00E13AD5"/>
    <w:rsid w:val="00E140A7"/>
    <w:rsid w:val="00E1523F"/>
    <w:rsid w:val="00E1529A"/>
    <w:rsid w:val="00E15B3D"/>
    <w:rsid w:val="00E15C79"/>
    <w:rsid w:val="00E15E85"/>
    <w:rsid w:val="00E15FE5"/>
    <w:rsid w:val="00E1633C"/>
    <w:rsid w:val="00E1637A"/>
    <w:rsid w:val="00E16653"/>
    <w:rsid w:val="00E16797"/>
    <w:rsid w:val="00E168CA"/>
    <w:rsid w:val="00E16966"/>
    <w:rsid w:val="00E16CE6"/>
    <w:rsid w:val="00E176AE"/>
    <w:rsid w:val="00E1770F"/>
    <w:rsid w:val="00E2012B"/>
    <w:rsid w:val="00E2057F"/>
    <w:rsid w:val="00E205D3"/>
    <w:rsid w:val="00E20B03"/>
    <w:rsid w:val="00E210AA"/>
    <w:rsid w:val="00E21656"/>
    <w:rsid w:val="00E21921"/>
    <w:rsid w:val="00E2208D"/>
    <w:rsid w:val="00E22662"/>
    <w:rsid w:val="00E23299"/>
    <w:rsid w:val="00E232FC"/>
    <w:rsid w:val="00E2358C"/>
    <w:rsid w:val="00E23CB3"/>
    <w:rsid w:val="00E2416E"/>
    <w:rsid w:val="00E24A06"/>
    <w:rsid w:val="00E24BC7"/>
    <w:rsid w:val="00E25988"/>
    <w:rsid w:val="00E262E8"/>
    <w:rsid w:val="00E2671F"/>
    <w:rsid w:val="00E26B71"/>
    <w:rsid w:val="00E26D86"/>
    <w:rsid w:val="00E27858"/>
    <w:rsid w:val="00E2785C"/>
    <w:rsid w:val="00E303D2"/>
    <w:rsid w:val="00E307B3"/>
    <w:rsid w:val="00E30836"/>
    <w:rsid w:val="00E30863"/>
    <w:rsid w:val="00E30925"/>
    <w:rsid w:val="00E31438"/>
    <w:rsid w:val="00E315B3"/>
    <w:rsid w:val="00E31606"/>
    <w:rsid w:val="00E31A4A"/>
    <w:rsid w:val="00E31E4A"/>
    <w:rsid w:val="00E32206"/>
    <w:rsid w:val="00E32437"/>
    <w:rsid w:val="00E33914"/>
    <w:rsid w:val="00E33D10"/>
    <w:rsid w:val="00E340A7"/>
    <w:rsid w:val="00E34D13"/>
    <w:rsid w:val="00E34F56"/>
    <w:rsid w:val="00E352B1"/>
    <w:rsid w:val="00E3701C"/>
    <w:rsid w:val="00E3771D"/>
    <w:rsid w:val="00E37C05"/>
    <w:rsid w:val="00E37EDB"/>
    <w:rsid w:val="00E40024"/>
    <w:rsid w:val="00E402C5"/>
    <w:rsid w:val="00E40469"/>
    <w:rsid w:val="00E40545"/>
    <w:rsid w:val="00E40A3E"/>
    <w:rsid w:val="00E4107F"/>
    <w:rsid w:val="00E419AD"/>
    <w:rsid w:val="00E41A07"/>
    <w:rsid w:val="00E41CE3"/>
    <w:rsid w:val="00E424E5"/>
    <w:rsid w:val="00E427B2"/>
    <w:rsid w:val="00E42A82"/>
    <w:rsid w:val="00E42C02"/>
    <w:rsid w:val="00E435DC"/>
    <w:rsid w:val="00E43C56"/>
    <w:rsid w:val="00E43D5C"/>
    <w:rsid w:val="00E44134"/>
    <w:rsid w:val="00E441E0"/>
    <w:rsid w:val="00E44571"/>
    <w:rsid w:val="00E45D52"/>
    <w:rsid w:val="00E45E87"/>
    <w:rsid w:val="00E46E42"/>
    <w:rsid w:val="00E46F27"/>
    <w:rsid w:val="00E4718B"/>
    <w:rsid w:val="00E47E96"/>
    <w:rsid w:val="00E504AC"/>
    <w:rsid w:val="00E50789"/>
    <w:rsid w:val="00E50876"/>
    <w:rsid w:val="00E509FD"/>
    <w:rsid w:val="00E51162"/>
    <w:rsid w:val="00E51429"/>
    <w:rsid w:val="00E51871"/>
    <w:rsid w:val="00E51FC6"/>
    <w:rsid w:val="00E52B70"/>
    <w:rsid w:val="00E53041"/>
    <w:rsid w:val="00E5312C"/>
    <w:rsid w:val="00E53C0C"/>
    <w:rsid w:val="00E53C99"/>
    <w:rsid w:val="00E53CF0"/>
    <w:rsid w:val="00E547CD"/>
    <w:rsid w:val="00E549E0"/>
    <w:rsid w:val="00E54A10"/>
    <w:rsid w:val="00E54E43"/>
    <w:rsid w:val="00E5582C"/>
    <w:rsid w:val="00E558C6"/>
    <w:rsid w:val="00E5681D"/>
    <w:rsid w:val="00E56D66"/>
    <w:rsid w:val="00E5773D"/>
    <w:rsid w:val="00E578BA"/>
    <w:rsid w:val="00E6017C"/>
    <w:rsid w:val="00E60464"/>
    <w:rsid w:val="00E60658"/>
    <w:rsid w:val="00E6079F"/>
    <w:rsid w:val="00E60FD6"/>
    <w:rsid w:val="00E61109"/>
    <w:rsid w:val="00E61670"/>
    <w:rsid w:val="00E61707"/>
    <w:rsid w:val="00E61F45"/>
    <w:rsid w:val="00E62314"/>
    <w:rsid w:val="00E627E3"/>
    <w:rsid w:val="00E62E3F"/>
    <w:rsid w:val="00E62F4A"/>
    <w:rsid w:val="00E632A5"/>
    <w:rsid w:val="00E63D2B"/>
    <w:rsid w:val="00E64E24"/>
    <w:rsid w:val="00E65308"/>
    <w:rsid w:val="00E65832"/>
    <w:rsid w:val="00E6660E"/>
    <w:rsid w:val="00E667A0"/>
    <w:rsid w:val="00E66ACF"/>
    <w:rsid w:val="00E677B3"/>
    <w:rsid w:val="00E7096A"/>
    <w:rsid w:val="00E70A5B"/>
    <w:rsid w:val="00E71765"/>
    <w:rsid w:val="00E718C3"/>
    <w:rsid w:val="00E7225C"/>
    <w:rsid w:val="00E72C68"/>
    <w:rsid w:val="00E7305F"/>
    <w:rsid w:val="00E73099"/>
    <w:rsid w:val="00E736FF"/>
    <w:rsid w:val="00E73BA6"/>
    <w:rsid w:val="00E7407A"/>
    <w:rsid w:val="00E744BF"/>
    <w:rsid w:val="00E74849"/>
    <w:rsid w:val="00E777AC"/>
    <w:rsid w:val="00E80B6F"/>
    <w:rsid w:val="00E81F63"/>
    <w:rsid w:val="00E82948"/>
    <w:rsid w:val="00E82CB9"/>
    <w:rsid w:val="00E83545"/>
    <w:rsid w:val="00E836F3"/>
    <w:rsid w:val="00E83DD2"/>
    <w:rsid w:val="00E83EBC"/>
    <w:rsid w:val="00E843F6"/>
    <w:rsid w:val="00E84F1E"/>
    <w:rsid w:val="00E851DF"/>
    <w:rsid w:val="00E85810"/>
    <w:rsid w:val="00E85D31"/>
    <w:rsid w:val="00E864FC"/>
    <w:rsid w:val="00E86A04"/>
    <w:rsid w:val="00E871BC"/>
    <w:rsid w:val="00E8754F"/>
    <w:rsid w:val="00E8788D"/>
    <w:rsid w:val="00E8792A"/>
    <w:rsid w:val="00E9001A"/>
    <w:rsid w:val="00E9031E"/>
    <w:rsid w:val="00E9158E"/>
    <w:rsid w:val="00E91C9A"/>
    <w:rsid w:val="00E91EAC"/>
    <w:rsid w:val="00E9203A"/>
    <w:rsid w:val="00E92FAA"/>
    <w:rsid w:val="00E937E9"/>
    <w:rsid w:val="00E93FFF"/>
    <w:rsid w:val="00E948A5"/>
    <w:rsid w:val="00E959D1"/>
    <w:rsid w:val="00E95DF7"/>
    <w:rsid w:val="00E9652D"/>
    <w:rsid w:val="00E968C1"/>
    <w:rsid w:val="00E968E5"/>
    <w:rsid w:val="00E96A5D"/>
    <w:rsid w:val="00E96AC8"/>
    <w:rsid w:val="00E96BB8"/>
    <w:rsid w:val="00E97278"/>
    <w:rsid w:val="00E976F6"/>
    <w:rsid w:val="00EA0624"/>
    <w:rsid w:val="00EA0E16"/>
    <w:rsid w:val="00EA148F"/>
    <w:rsid w:val="00EA1809"/>
    <w:rsid w:val="00EA1E87"/>
    <w:rsid w:val="00EA27BF"/>
    <w:rsid w:val="00EA2DD3"/>
    <w:rsid w:val="00EA2FF7"/>
    <w:rsid w:val="00EA3126"/>
    <w:rsid w:val="00EA36B1"/>
    <w:rsid w:val="00EA3818"/>
    <w:rsid w:val="00EA3D96"/>
    <w:rsid w:val="00EA47CE"/>
    <w:rsid w:val="00EA55B0"/>
    <w:rsid w:val="00EA5631"/>
    <w:rsid w:val="00EA5F29"/>
    <w:rsid w:val="00EA5FE0"/>
    <w:rsid w:val="00EA755B"/>
    <w:rsid w:val="00EA765A"/>
    <w:rsid w:val="00EA7ABF"/>
    <w:rsid w:val="00EA7CCC"/>
    <w:rsid w:val="00EA7CD9"/>
    <w:rsid w:val="00EB1671"/>
    <w:rsid w:val="00EB27F2"/>
    <w:rsid w:val="00EB2880"/>
    <w:rsid w:val="00EB2B86"/>
    <w:rsid w:val="00EB34B6"/>
    <w:rsid w:val="00EB35A7"/>
    <w:rsid w:val="00EB392A"/>
    <w:rsid w:val="00EB3AEF"/>
    <w:rsid w:val="00EB3EA8"/>
    <w:rsid w:val="00EB4134"/>
    <w:rsid w:val="00EB4149"/>
    <w:rsid w:val="00EB4426"/>
    <w:rsid w:val="00EB5AA5"/>
    <w:rsid w:val="00EB5C90"/>
    <w:rsid w:val="00EB5D85"/>
    <w:rsid w:val="00EB6102"/>
    <w:rsid w:val="00EB6BC5"/>
    <w:rsid w:val="00EB703A"/>
    <w:rsid w:val="00EB7400"/>
    <w:rsid w:val="00EB75BB"/>
    <w:rsid w:val="00EB7698"/>
    <w:rsid w:val="00EB76CB"/>
    <w:rsid w:val="00EC0056"/>
    <w:rsid w:val="00EC0910"/>
    <w:rsid w:val="00EC0AE3"/>
    <w:rsid w:val="00EC1495"/>
    <w:rsid w:val="00EC149F"/>
    <w:rsid w:val="00EC14AA"/>
    <w:rsid w:val="00EC1A74"/>
    <w:rsid w:val="00EC1E8E"/>
    <w:rsid w:val="00EC2176"/>
    <w:rsid w:val="00EC22E2"/>
    <w:rsid w:val="00EC29DC"/>
    <w:rsid w:val="00EC2C30"/>
    <w:rsid w:val="00EC3D08"/>
    <w:rsid w:val="00EC41E0"/>
    <w:rsid w:val="00EC43EC"/>
    <w:rsid w:val="00EC4F31"/>
    <w:rsid w:val="00EC53D3"/>
    <w:rsid w:val="00EC582C"/>
    <w:rsid w:val="00EC58D6"/>
    <w:rsid w:val="00EC5933"/>
    <w:rsid w:val="00EC5B70"/>
    <w:rsid w:val="00EC6011"/>
    <w:rsid w:val="00EC62AD"/>
    <w:rsid w:val="00EC62D7"/>
    <w:rsid w:val="00EC63A5"/>
    <w:rsid w:val="00EC643D"/>
    <w:rsid w:val="00EC77A7"/>
    <w:rsid w:val="00ED0C38"/>
    <w:rsid w:val="00ED0CA8"/>
    <w:rsid w:val="00ED0FFC"/>
    <w:rsid w:val="00ED2101"/>
    <w:rsid w:val="00ED2FB5"/>
    <w:rsid w:val="00ED314D"/>
    <w:rsid w:val="00ED358B"/>
    <w:rsid w:val="00ED3C70"/>
    <w:rsid w:val="00ED3FCF"/>
    <w:rsid w:val="00ED46E6"/>
    <w:rsid w:val="00ED4B09"/>
    <w:rsid w:val="00ED537B"/>
    <w:rsid w:val="00ED5C62"/>
    <w:rsid w:val="00ED5C74"/>
    <w:rsid w:val="00ED5F68"/>
    <w:rsid w:val="00ED689F"/>
    <w:rsid w:val="00ED6996"/>
    <w:rsid w:val="00ED6D83"/>
    <w:rsid w:val="00ED729C"/>
    <w:rsid w:val="00ED798E"/>
    <w:rsid w:val="00ED7AED"/>
    <w:rsid w:val="00EE090E"/>
    <w:rsid w:val="00EE0A99"/>
    <w:rsid w:val="00EE0D78"/>
    <w:rsid w:val="00EE0E9D"/>
    <w:rsid w:val="00EE10F9"/>
    <w:rsid w:val="00EE1140"/>
    <w:rsid w:val="00EE151E"/>
    <w:rsid w:val="00EE177A"/>
    <w:rsid w:val="00EE2BD6"/>
    <w:rsid w:val="00EE35EF"/>
    <w:rsid w:val="00EE3AFA"/>
    <w:rsid w:val="00EE3EB1"/>
    <w:rsid w:val="00EE3F56"/>
    <w:rsid w:val="00EE411F"/>
    <w:rsid w:val="00EE427B"/>
    <w:rsid w:val="00EE45F6"/>
    <w:rsid w:val="00EE4A9F"/>
    <w:rsid w:val="00EE578E"/>
    <w:rsid w:val="00EE5BC2"/>
    <w:rsid w:val="00EE6B1D"/>
    <w:rsid w:val="00EE6C95"/>
    <w:rsid w:val="00EE75A4"/>
    <w:rsid w:val="00EE771C"/>
    <w:rsid w:val="00EE7924"/>
    <w:rsid w:val="00EE7D6F"/>
    <w:rsid w:val="00EE7D7C"/>
    <w:rsid w:val="00EF0077"/>
    <w:rsid w:val="00EF0A6C"/>
    <w:rsid w:val="00EF0CE8"/>
    <w:rsid w:val="00EF15ED"/>
    <w:rsid w:val="00EF1731"/>
    <w:rsid w:val="00EF1B49"/>
    <w:rsid w:val="00EF225B"/>
    <w:rsid w:val="00EF27D2"/>
    <w:rsid w:val="00EF2C24"/>
    <w:rsid w:val="00EF3D36"/>
    <w:rsid w:val="00EF4364"/>
    <w:rsid w:val="00EF4431"/>
    <w:rsid w:val="00EF4A9F"/>
    <w:rsid w:val="00EF4ABA"/>
    <w:rsid w:val="00EF5541"/>
    <w:rsid w:val="00EF5BFB"/>
    <w:rsid w:val="00EF689C"/>
    <w:rsid w:val="00EF6E60"/>
    <w:rsid w:val="00EF70BC"/>
    <w:rsid w:val="00EF734E"/>
    <w:rsid w:val="00EF7DBA"/>
    <w:rsid w:val="00F00E98"/>
    <w:rsid w:val="00F014A7"/>
    <w:rsid w:val="00F02424"/>
    <w:rsid w:val="00F0258A"/>
    <w:rsid w:val="00F02EF8"/>
    <w:rsid w:val="00F04492"/>
    <w:rsid w:val="00F0523D"/>
    <w:rsid w:val="00F0545E"/>
    <w:rsid w:val="00F05D89"/>
    <w:rsid w:val="00F05F1B"/>
    <w:rsid w:val="00F064FB"/>
    <w:rsid w:val="00F066A3"/>
    <w:rsid w:val="00F066B2"/>
    <w:rsid w:val="00F0676F"/>
    <w:rsid w:val="00F06956"/>
    <w:rsid w:val="00F06EFE"/>
    <w:rsid w:val="00F074AA"/>
    <w:rsid w:val="00F075AE"/>
    <w:rsid w:val="00F0765A"/>
    <w:rsid w:val="00F07769"/>
    <w:rsid w:val="00F07BCC"/>
    <w:rsid w:val="00F07D11"/>
    <w:rsid w:val="00F10EA9"/>
    <w:rsid w:val="00F10F24"/>
    <w:rsid w:val="00F111B9"/>
    <w:rsid w:val="00F1189B"/>
    <w:rsid w:val="00F120E3"/>
    <w:rsid w:val="00F122BC"/>
    <w:rsid w:val="00F122D5"/>
    <w:rsid w:val="00F133BE"/>
    <w:rsid w:val="00F13559"/>
    <w:rsid w:val="00F13A4C"/>
    <w:rsid w:val="00F145AA"/>
    <w:rsid w:val="00F14933"/>
    <w:rsid w:val="00F14F8C"/>
    <w:rsid w:val="00F1682B"/>
    <w:rsid w:val="00F1694C"/>
    <w:rsid w:val="00F16E53"/>
    <w:rsid w:val="00F16EE1"/>
    <w:rsid w:val="00F17758"/>
    <w:rsid w:val="00F17948"/>
    <w:rsid w:val="00F17A53"/>
    <w:rsid w:val="00F20500"/>
    <w:rsid w:val="00F2062D"/>
    <w:rsid w:val="00F209FC"/>
    <w:rsid w:val="00F2159B"/>
    <w:rsid w:val="00F219A1"/>
    <w:rsid w:val="00F21A5A"/>
    <w:rsid w:val="00F21BA2"/>
    <w:rsid w:val="00F2290A"/>
    <w:rsid w:val="00F22CCE"/>
    <w:rsid w:val="00F23AC7"/>
    <w:rsid w:val="00F23C66"/>
    <w:rsid w:val="00F23E9E"/>
    <w:rsid w:val="00F24C88"/>
    <w:rsid w:val="00F26003"/>
    <w:rsid w:val="00F26BCA"/>
    <w:rsid w:val="00F279BC"/>
    <w:rsid w:val="00F27CB5"/>
    <w:rsid w:val="00F304C0"/>
    <w:rsid w:val="00F3075F"/>
    <w:rsid w:val="00F3136F"/>
    <w:rsid w:val="00F317AA"/>
    <w:rsid w:val="00F317DA"/>
    <w:rsid w:val="00F321A2"/>
    <w:rsid w:val="00F321C3"/>
    <w:rsid w:val="00F32213"/>
    <w:rsid w:val="00F32BDB"/>
    <w:rsid w:val="00F33663"/>
    <w:rsid w:val="00F33844"/>
    <w:rsid w:val="00F34DB7"/>
    <w:rsid w:val="00F3502F"/>
    <w:rsid w:val="00F351B4"/>
    <w:rsid w:val="00F35AFF"/>
    <w:rsid w:val="00F35CD6"/>
    <w:rsid w:val="00F35D09"/>
    <w:rsid w:val="00F370DD"/>
    <w:rsid w:val="00F374B2"/>
    <w:rsid w:val="00F40497"/>
    <w:rsid w:val="00F406BD"/>
    <w:rsid w:val="00F41E59"/>
    <w:rsid w:val="00F424B6"/>
    <w:rsid w:val="00F42F17"/>
    <w:rsid w:val="00F433C5"/>
    <w:rsid w:val="00F43A91"/>
    <w:rsid w:val="00F43AFF"/>
    <w:rsid w:val="00F43C68"/>
    <w:rsid w:val="00F43ECE"/>
    <w:rsid w:val="00F43FDA"/>
    <w:rsid w:val="00F44494"/>
    <w:rsid w:val="00F449E2"/>
    <w:rsid w:val="00F44A90"/>
    <w:rsid w:val="00F44AC2"/>
    <w:rsid w:val="00F44C5F"/>
    <w:rsid w:val="00F44CC9"/>
    <w:rsid w:val="00F45052"/>
    <w:rsid w:val="00F45607"/>
    <w:rsid w:val="00F45761"/>
    <w:rsid w:val="00F45CA9"/>
    <w:rsid w:val="00F45FC7"/>
    <w:rsid w:val="00F47415"/>
    <w:rsid w:val="00F4741D"/>
    <w:rsid w:val="00F4797B"/>
    <w:rsid w:val="00F50A91"/>
    <w:rsid w:val="00F515D1"/>
    <w:rsid w:val="00F524AC"/>
    <w:rsid w:val="00F5257A"/>
    <w:rsid w:val="00F52920"/>
    <w:rsid w:val="00F52982"/>
    <w:rsid w:val="00F52DFB"/>
    <w:rsid w:val="00F531F8"/>
    <w:rsid w:val="00F53833"/>
    <w:rsid w:val="00F53848"/>
    <w:rsid w:val="00F53DD0"/>
    <w:rsid w:val="00F53EF7"/>
    <w:rsid w:val="00F54150"/>
    <w:rsid w:val="00F54E26"/>
    <w:rsid w:val="00F55022"/>
    <w:rsid w:val="00F552B2"/>
    <w:rsid w:val="00F55465"/>
    <w:rsid w:val="00F55753"/>
    <w:rsid w:val="00F564C6"/>
    <w:rsid w:val="00F56B95"/>
    <w:rsid w:val="00F56ED3"/>
    <w:rsid w:val="00F6000D"/>
    <w:rsid w:val="00F600BD"/>
    <w:rsid w:val="00F60ACB"/>
    <w:rsid w:val="00F61C6F"/>
    <w:rsid w:val="00F62057"/>
    <w:rsid w:val="00F62348"/>
    <w:rsid w:val="00F62A0F"/>
    <w:rsid w:val="00F632A9"/>
    <w:rsid w:val="00F6348E"/>
    <w:rsid w:val="00F63995"/>
    <w:rsid w:val="00F63B14"/>
    <w:rsid w:val="00F6406F"/>
    <w:rsid w:val="00F643AD"/>
    <w:rsid w:val="00F65485"/>
    <w:rsid w:val="00F6567B"/>
    <w:rsid w:val="00F65DE3"/>
    <w:rsid w:val="00F66137"/>
    <w:rsid w:val="00F661EE"/>
    <w:rsid w:val="00F66373"/>
    <w:rsid w:val="00F66949"/>
    <w:rsid w:val="00F66BC5"/>
    <w:rsid w:val="00F672C9"/>
    <w:rsid w:val="00F70064"/>
    <w:rsid w:val="00F7010C"/>
    <w:rsid w:val="00F714AF"/>
    <w:rsid w:val="00F716B9"/>
    <w:rsid w:val="00F7179B"/>
    <w:rsid w:val="00F71B23"/>
    <w:rsid w:val="00F71C7C"/>
    <w:rsid w:val="00F72894"/>
    <w:rsid w:val="00F72C98"/>
    <w:rsid w:val="00F73074"/>
    <w:rsid w:val="00F73D31"/>
    <w:rsid w:val="00F74FDF"/>
    <w:rsid w:val="00F7502E"/>
    <w:rsid w:val="00F75222"/>
    <w:rsid w:val="00F755A8"/>
    <w:rsid w:val="00F77055"/>
    <w:rsid w:val="00F77973"/>
    <w:rsid w:val="00F807F9"/>
    <w:rsid w:val="00F80E5B"/>
    <w:rsid w:val="00F8269A"/>
    <w:rsid w:val="00F82B43"/>
    <w:rsid w:val="00F83C99"/>
    <w:rsid w:val="00F83E78"/>
    <w:rsid w:val="00F8421A"/>
    <w:rsid w:val="00F84603"/>
    <w:rsid w:val="00F84A17"/>
    <w:rsid w:val="00F84D26"/>
    <w:rsid w:val="00F84D8F"/>
    <w:rsid w:val="00F8570A"/>
    <w:rsid w:val="00F858DD"/>
    <w:rsid w:val="00F8591B"/>
    <w:rsid w:val="00F8595A"/>
    <w:rsid w:val="00F8647D"/>
    <w:rsid w:val="00F86720"/>
    <w:rsid w:val="00F8682D"/>
    <w:rsid w:val="00F8712C"/>
    <w:rsid w:val="00F87F50"/>
    <w:rsid w:val="00F902C2"/>
    <w:rsid w:val="00F9035D"/>
    <w:rsid w:val="00F905F8"/>
    <w:rsid w:val="00F90770"/>
    <w:rsid w:val="00F90F16"/>
    <w:rsid w:val="00F91314"/>
    <w:rsid w:val="00F91358"/>
    <w:rsid w:val="00F918A3"/>
    <w:rsid w:val="00F91D14"/>
    <w:rsid w:val="00F921A3"/>
    <w:rsid w:val="00F92601"/>
    <w:rsid w:val="00F927CD"/>
    <w:rsid w:val="00F92906"/>
    <w:rsid w:val="00F92955"/>
    <w:rsid w:val="00F92F98"/>
    <w:rsid w:val="00F9336D"/>
    <w:rsid w:val="00F936EC"/>
    <w:rsid w:val="00F93777"/>
    <w:rsid w:val="00F93F2D"/>
    <w:rsid w:val="00F93F62"/>
    <w:rsid w:val="00F93F7A"/>
    <w:rsid w:val="00F94833"/>
    <w:rsid w:val="00F9574C"/>
    <w:rsid w:val="00F95795"/>
    <w:rsid w:val="00F96127"/>
    <w:rsid w:val="00F96502"/>
    <w:rsid w:val="00F9655B"/>
    <w:rsid w:val="00FA0027"/>
    <w:rsid w:val="00FA0AD3"/>
    <w:rsid w:val="00FA179D"/>
    <w:rsid w:val="00FA24B8"/>
    <w:rsid w:val="00FA2542"/>
    <w:rsid w:val="00FA2C7C"/>
    <w:rsid w:val="00FA344F"/>
    <w:rsid w:val="00FA3AF7"/>
    <w:rsid w:val="00FA46D3"/>
    <w:rsid w:val="00FA4CAF"/>
    <w:rsid w:val="00FA4D78"/>
    <w:rsid w:val="00FA58C7"/>
    <w:rsid w:val="00FA604E"/>
    <w:rsid w:val="00FA60E5"/>
    <w:rsid w:val="00FA76B0"/>
    <w:rsid w:val="00FB04FB"/>
    <w:rsid w:val="00FB073C"/>
    <w:rsid w:val="00FB0B3A"/>
    <w:rsid w:val="00FB0CDB"/>
    <w:rsid w:val="00FB135F"/>
    <w:rsid w:val="00FB1FA0"/>
    <w:rsid w:val="00FB2712"/>
    <w:rsid w:val="00FB2BBD"/>
    <w:rsid w:val="00FB2C83"/>
    <w:rsid w:val="00FB34C3"/>
    <w:rsid w:val="00FB34F7"/>
    <w:rsid w:val="00FB38FF"/>
    <w:rsid w:val="00FB3911"/>
    <w:rsid w:val="00FB4C82"/>
    <w:rsid w:val="00FB54BE"/>
    <w:rsid w:val="00FB5FB9"/>
    <w:rsid w:val="00FB6C25"/>
    <w:rsid w:val="00FB7538"/>
    <w:rsid w:val="00FC02C3"/>
    <w:rsid w:val="00FC0BE6"/>
    <w:rsid w:val="00FC0D58"/>
    <w:rsid w:val="00FC0FF7"/>
    <w:rsid w:val="00FC135E"/>
    <w:rsid w:val="00FC192B"/>
    <w:rsid w:val="00FC2363"/>
    <w:rsid w:val="00FC25E8"/>
    <w:rsid w:val="00FC2C67"/>
    <w:rsid w:val="00FC2E62"/>
    <w:rsid w:val="00FC3151"/>
    <w:rsid w:val="00FC31E5"/>
    <w:rsid w:val="00FC3478"/>
    <w:rsid w:val="00FC348B"/>
    <w:rsid w:val="00FC3D46"/>
    <w:rsid w:val="00FC43E4"/>
    <w:rsid w:val="00FC4620"/>
    <w:rsid w:val="00FC4802"/>
    <w:rsid w:val="00FC49B0"/>
    <w:rsid w:val="00FC5ACC"/>
    <w:rsid w:val="00FC5B73"/>
    <w:rsid w:val="00FC5D30"/>
    <w:rsid w:val="00FC6550"/>
    <w:rsid w:val="00FC688B"/>
    <w:rsid w:val="00FC6C45"/>
    <w:rsid w:val="00FC6E0F"/>
    <w:rsid w:val="00FC753E"/>
    <w:rsid w:val="00FC7F3F"/>
    <w:rsid w:val="00FD0575"/>
    <w:rsid w:val="00FD05EB"/>
    <w:rsid w:val="00FD065D"/>
    <w:rsid w:val="00FD0C8E"/>
    <w:rsid w:val="00FD0CE1"/>
    <w:rsid w:val="00FD0E37"/>
    <w:rsid w:val="00FD22A2"/>
    <w:rsid w:val="00FD2625"/>
    <w:rsid w:val="00FD3F32"/>
    <w:rsid w:val="00FD4196"/>
    <w:rsid w:val="00FD474F"/>
    <w:rsid w:val="00FD67AA"/>
    <w:rsid w:val="00FD723E"/>
    <w:rsid w:val="00FD76B8"/>
    <w:rsid w:val="00FD7AA2"/>
    <w:rsid w:val="00FE075E"/>
    <w:rsid w:val="00FE0A6D"/>
    <w:rsid w:val="00FE0AF5"/>
    <w:rsid w:val="00FE0B35"/>
    <w:rsid w:val="00FE0B74"/>
    <w:rsid w:val="00FE0FA0"/>
    <w:rsid w:val="00FE114E"/>
    <w:rsid w:val="00FE19AC"/>
    <w:rsid w:val="00FE274F"/>
    <w:rsid w:val="00FE2B5A"/>
    <w:rsid w:val="00FE2C24"/>
    <w:rsid w:val="00FE33F7"/>
    <w:rsid w:val="00FE34B5"/>
    <w:rsid w:val="00FE3902"/>
    <w:rsid w:val="00FE3DC3"/>
    <w:rsid w:val="00FE44E0"/>
    <w:rsid w:val="00FE4A65"/>
    <w:rsid w:val="00FE5495"/>
    <w:rsid w:val="00FE5988"/>
    <w:rsid w:val="00FE59B3"/>
    <w:rsid w:val="00FE5E15"/>
    <w:rsid w:val="00FE5F05"/>
    <w:rsid w:val="00FE684B"/>
    <w:rsid w:val="00FE6919"/>
    <w:rsid w:val="00FE6A41"/>
    <w:rsid w:val="00FE6C26"/>
    <w:rsid w:val="00FE7324"/>
    <w:rsid w:val="00FE73DE"/>
    <w:rsid w:val="00FE747D"/>
    <w:rsid w:val="00FE7602"/>
    <w:rsid w:val="00FE768C"/>
    <w:rsid w:val="00FE7C27"/>
    <w:rsid w:val="00FF0187"/>
    <w:rsid w:val="00FF022D"/>
    <w:rsid w:val="00FF09BF"/>
    <w:rsid w:val="00FF0C0C"/>
    <w:rsid w:val="00FF10C3"/>
    <w:rsid w:val="00FF15FD"/>
    <w:rsid w:val="00FF171B"/>
    <w:rsid w:val="00FF20CC"/>
    <w:rsid w:val="00FF2E0C"/>
    <w:rsid w:val="00FF2FF9"/>
    <w:rsid w:val="00FF355E"/>
    <w:rsid w:val="00FF374B"/>
    <w:rsid w:val="00FF3DEF"/>
    <w:rsid w:val="00FF3E2F"/>
    <w:rsid w:val="00FF449F"/>
    <w:rsid w:val="00FF506A"/>
    <w:rsid w:val="00FF56C9"/>
    <w:rsid w:val="00FF5939"/>
    <w:rsid w:val="00FF594F"/>
    <w:rsid w:val="00FF60F1"/>
    <w:rsid w:val="00FF6E98"/>
    <w:rsid w:val="00FF704B"/>
    <w:rsid w:val="00FF7641"/>
    <w:rsid w:val="00FF7776"/>
    <w:rsid w:val="00FF7B2E"/>
    <w:rsid w:val="0135D512"/>
    <w:rsid w:val="017B6FD5"/>
    <w:rsid w:val="01A54CA5"/>
    <w:rsid w:val="01B25375"/>
    <w:rsid w:val="01D2D3B9"/>
    <w:rsid w:val="02199EC3"/>
    <w:rsid w:val="026FBEAD"/>
    <w:rsid w:val="02B7EB17"/>
    <w:rsid w:val="02C2CF80"/>
    <w:rsid w:val="03115185"/>
    <w:rsid w:val="037A9432"/>
    <w:rsid w:val="039C20FC"/>
    <w:rsid w:val="03B735D6"/>
    <w:rsid w:val="03ED8E42"/>
    <w:rsid w:val="044F570D"/>
    <w:rsid w:val="0485F722"/>
    <w:rsid w:val="0493F989"/>
    <w:rsid w:val="04DE7B02"/>
    <w:rsid w:val="0509BD1E"/>
    <w:rsid w:val="05162CB2"/>
    <w:rsid w:val="051C33F4"/>
    <w:rsid w:val="051CA843"/>
    <w:rsid w:val="051D70C8"/>
    <w:rsid w:val="055A159B"/>
    <w:rsid w:val="05676203"/>
    <w:rsid w:val="05751BE0"/>
    <w:rsid w:val="057B04AA"/>
    <w:rsid w:val="05887242"/>
    <w:rsid w:val="058E3712"/>
    <w:rsid w:val="058F709A"/>
    <w:rsid w:val="05AB8D54"/>
    <w:rsid w:val="05BEBB86"/>
    <w:rsid w:val="0684F9F5"/>
    <w:rsid w:val="06BE255C"/>
    <w:rsid w:val="0737CFFF"/>
    <w:rsid w:val="0794715E"/>
    <w:rsid w:val="07A352E1"/>
    <w:rsid w:val="07E1AC36"/>
    <w:rsid w:val="07EC2EC5"/>
    <w:rsid w:val="0870EFCA"/>
    <w:rsid w:val="0888D903"/>
    <w:rsid w:val="08F1F266"/>
    <w:rsid w:val="090F67A3"/>
    <w:rsid w:val="09218B74"/>
    <w:rsid w:val="094ADCFE"/>
    <w:rsid w:val="094D7177"/>
    <w:rsid w:val="095AA210"/>
    <w:rsid w:val="095E027D"/>
    <w:rsid w:val="097DB2C5"/>
    <w:rsid w:val="09A2F6C7"/>
    <w:rsid w:val="09AEF252"/>
    <w:rsid w:val="09EE29D2"/>
    <w:rsid w:val="0A0DEC1B"/>
    <w:rsid w:val="0A16DA62"/>
    <w:rsid w:val="0ABDF8D8"/>
    <w:rsid w:val="0B046D97"/>
    <w:rsid w:val="0B28D561"/>
    <w:rsid w:val="0B357AF2"/>
    <w:rsid w:val="0B3C4FF6"/>
    <w:rsid w:val="0CE6CD4D"/>
    <w:rsid w:val="0CF141C4"/>
    <w:rsid w:val="0D00785C"/>
    <w:rsid w:val="0D56DAD6"/>
    <w:rsid w:val="0DA981A2"/>
    <w:rsid w:val="0DC6424F"/>
    <w:rsid w:val="0DCD43CA"/>
    <w:rsid w:val="0DED9D7A"/>
    <w:rsid w:val="0DF4FC5E"/>
    <w:rsid w:val="0E351A10"/>
    <w:rsid w:val="0E501171"/>
    <w:rsid w:val="0E5D0FF5"/>
    <w:rsid w:val="0E707BA2"/>
    <w:rsid w:val="0ED55796"/>
    <w:rsid w:val="0F0562F4"/>
    <w:rsid w:val="0F0E75C5"/>
    <w:rsid w:val="0F7F36CA"/>
    <w:rsid w:val="0F87BBB0"/>
    <w:rsid w:val="0FD5DB58"/>
    <w:rsid w:val="0FF47326"/>
    <w:rsid w:val="106C8509"/>
    <w:rsid w:val="10929ADF"/>
    <w:rsid w:val="109CC7C6"/>
    <w:rsid w:val="10D0B892"/>
    <w:rsid w:val="10FB708D"/>
    <w:rsid w:val="1119352C"/>
    <w:rsid w:val="1131D0EC"/>
    <w:rsid w:val="11685695"/>
    <w:rsid w:val="117D536D"/>
    <w:rsid w:val="118D28AB"/>
    <w:rsid w:val="1253368E"/>
    <w:rsid w:val="12B9D5FE"/>
    <w:rsid w:val="12ECA280"/>
    <w:rsid w:val="12FD82E7"/>
    <w:rsid w:val="13238580"/>
    <w:rsid w:val="134C0E7D"/>
    <w:rsid w:val="13E0E5CA"/>
    <w:rsid w:val="14476B38"/>
    <w:rsid w:val="14644E56"/>
    <w:rsid w:val="149ABB5A"/>
    <w:rsid w:val="14DAEFF9"/>
    <w:rsid w:val="154CAE32"/>
    <w:rsid w:val="15BBFEAE"/>
    <w:rsid w:val="15BE536E"/>
    <w:rsid w:val="15F96E5B"/>
    <w:rsid w:val="163CA063"/>
    <w:rsid w:val="166B87C7"/>
    <w:rsid w:val="167150AF"/>
    <w:rsid w:val="16715570"/>
    <w:rsid w:val="167F30DC"/>
    <w:rsid w:val="16E3B5AB"/>
    <w:rsid w:val="17004501"/>
    <w:rsid w:val="172A6146"/>
    <w:rsid w:val="179EB615"/>
    <w:rsid w:val="17F472B4"/>
    <w:rsid w:val="17F807E6"/>
    <w:rsid w:val="18A6F197"/>
    <w:rsid w:val="18DF0A2E"/>
    <w:rsid w:val="18F61582"/>
    <w:rsid w:val="19154028"/>
    <w:rsid w:val="19D687BF"/>
    <w:rsid w:val="1A22DC3A"/>
    <w:rsid w:val="1A8294A9"/>
    <w:rsid w:val="1B2F8202"/>
    <w:rsid w:val="1B5EAD79"/>
    <w:rsid w:val="1BDE9259"/>
    <w:rsid w:val="1C1766F3"/>
    <w:rsid w:val="1CD7F9F8"/>
    <w:rsid w:val="1CDBEA30"/>
    <w:rsid w:val="1CEF0750"/>
    <w:rsid w:val="1D063E12"/>
    <w:rsid w:val="1D1F09E2"/>
    <w:rsid w:val="1D2E1510"/>
    <w:rsid w:val="1D31458F"/>
    <w:rsid w:val="1D9FC884"/>
    <w:rsid w:val="1DC03E7B"/>
    <w:rsid w:val="1E1A6688"/>
    <w:rsid w:val="1E3D3C4E"/>
    <w:rsid w:val="1ECEF503"/>
    <w:rsid w:val="1EDB0481"/>
    <w:rsid w:val="1F3387B5"/>
    <w:rsid w:val="1F597904"/>
    <w:rsid w:val="1F601EC4"/>
    <w:rsid w:val="1F8D6335"/>
    <w:rsid w:val="1F91C03A"/>
    <w:rsid w:val="1F93D611"/>
    <w:rsid w:val="1FF43C17"/>
    <w:rsid w:val="2007A77D"/>
    <w:rsid w:val="20C12FEA"/>
    <w:rsid w:val="20D70A5F"/>
    <w:rsid w:val="21080086"/>
    <w:rsid w:val="21206B1D"/>
    <w:rsid w:val="2132BD8F"/>
    <w:rsid w:val="21424325"/>
    <w:rsid w:val="21720A00"/>
    <w:rsid w:val="21802516"/>
    <w:rsid w:val="21F9B918"/>
    <w:rsid w:val="220D1E3A"/>
    <w:rsid w:val="225887DB"/>
    <w:rsid w:val="2277F169"/>
    <w:rsid w:val="229C4FDA"/>
    <w:rsid w:val="22CBBC02"/>
    <w:rsid w:val="22EB7DCA"/>
    <w:rsid w:val="22ED93D4"/>
    <w:rsid w:val="231CE645"/>
    <w:rsid w:val="23751394"/>
    <w:rsid w:val="23D74838"/>
    <w:rsid w:val="23F417AF"/>
    <w:rsid w:val="2457790C"/>
    <w:rsid w:val="245EEC34"/>
    <w:rsid w:val="249EF2D5"/>
    <w:rsid w:val="24BB7D3B"/>
    <w:rsid w:val="24CBD953"/>
    <w:rsid w:val="24DBEDF8"/>
    <w:rsid w:val="24DDCF4B"/>
    <w:rsid w:val="24E83047"/>
    <w:rsid w:val="24FA18EF"/>
    <w:rsid w:val="251AFDD7"/>
    <w:rsid w:val="257AE8E3"/>
    <w:rsid w:val="25804CF4"/>
    <w:rsid w:val="2602C4BC"/>
    <w:rsid w:val="26452B3A"/>
    <w:rsid w:val="2666B351"/>
    <w:rsid w:val="26985A33"/>
    <w:rsid w:val="26D195CD"/>
    <w:rsid w:val="26DC46CD"/>
    <w:rsid w:val="26E7BF56"/>
    <w:rsid w:val="2700FD11"/>
    <w:rsid w:val="275DB85E"/>
    <w:rsid w:val="276FCA96"/>
    <w:rsid w:val="27BA8D8E"/>
    <w:rsid w:val="27D1F4FD"/>
    <w:rsid w:val="28567A65"/>
    <w:rsid w:val="2864E470"/>
    <w:rsid w:val="289F49DA"/>
    <w:rsid w:val="28F12349"/>
    <w:rsid w:val="2942D201"/>
    <w:rsid w:val="294D1339"/>
    <w:rsid w:val="29729478"/>
    <w:rsid w:val="2A37E63C"/>
    <w:rsid w:val="2A821B6C"/>
    <w:rsid w:val="2A847669"/>
    <w:rsid w:val="2AC6BCC2"/>
    <w:rsid w:val="2B1F19AF"/>
    <w:rsid w:val="2B548E4C"/>
    <w:rsid w:val="2B68DF1B"/>
    <w:rsid w:val="2B6EBB22"/>
    <w:rsid w:val="2B8EF407"/>
    <w:rsid w:val="2BCAF48E"/>
    <w:rsid w:val="2C1654EE"/>
    <w:rsid w:val="2C928E88"/>
    <w:rsid w:val="2C95A919"/>
    <w:rsid w:val="2D0BEC4D"/>
    <w:rsid w:val="2DE8E4BF"/>
    <w:rsid w:val="2DEE20C5"/>
    <w:rsid w:val="2DF81DB3"/>
    <w:rsid w:val="2E33448A"/>
    <w:rsid w:val="2EF4D8E8"/>
    <w:rsid w:val="2F213A1F"/>
    <w:rsid w:val="2FEA3EDB"/>
    <w:rsid w:val="2FF7CA02"/>
    <w:rsid w:val="300102EA"/>
    <w:rsid w:val="30E64B62"/>
    <w:rsid w:val="30F089B6"/>
    <w:rsid w:val="30F2BBB9"/>
    <w:rsid w:val="315E0A68"/>
    <w:rsid w:val="319576D4"/>
    <w:rsid w:val="31B75818"/>
    <w:rsid w:val="31C75A4B"/>
    <w:rsid w:val="31CA5B9F"/>
    <w:rsid w:val="31DC74F3"/>
    <w:rsid w:val="31E07F2A"/>
    <w:rsid w:val="31E607C5"/>
    <w:rsid w:val="320C4ADE"/>
    <w:rsid w:val="322FF686"/>
    <w:rsid w:val="32CECE3B"/>
    <w:rsid w:val="32DFFFE4"/>
    <w:rsid w:val="33437509"/>
    <w:rsid w:val="33CBC6E7"/>
    <w:rsid w:val="341E2FCB"/>
    <w:rsid w:val="34217D06"/>
    <w:rsid w:val="344F5C87"/>
    <w:rsid w:val="347A1926"/>
    <w:rsid w:val="34904A9B"/>
    <w:rsid w:val="3498959F"/>
    <w:rsid w:val="352798E3"/>
    <w:rsid w:val="353090B2"/>
    <w:rsid w:val="35666568"/>
    <w:rsid w:val="3572816B"/>
    <w:rsid w:val="35958CDF"/>
    <w:rsid w:val="3638C01D"/>
    <w:rsid w:val="364F47B7"/>
    <w:rsid w:val="3663BC72"/>
    <w:rsid w:val="3668E7F7"/>
    <w:rsid w:val="36A05DF1"/>
    <w:rsid w:val="36E4F3E1"/>
    <w:rsid w:val="36E93CF6"/>
    <w:rsid w:val="3705BF23"/>
    <w:rsid w:val="371BE94C"/>
    <w:rsid w:val="37725214"/>
    <w:rsid w:val="37782AEA"/>
    <w:rsid w:val="37C2E8F2"/>
    <w:rsid w:val="37F306B0"/>
    <w:rsid w:val="3826999C"/>
    <w:rsid w:val="388BE38D"/>
    <w:rsid w:val="388EE31C"/>
    <w:rsid w:val="389E559B"/>
    <w:rsid w:val="38A9C094"/>
    <w:rsid w:val="397FF237"/>
    <w:rsid w:val="39850D05"/>
    <w:rsid w:val="39B887BF"/>
    <w:rsid w:val="3A014EA0"/>
    <w:rsid w:val="3A23E36E"/>
    <w:rsid w:val="3A3ED205"/>
    <w:rsid w:val="3AA4F9A3"/>
    <w:rsid w:val="3AAA781A"/>
    <w:rsid w:val="3ADD1B2F"/>
    <w:rsid w:val="3B06E55B"/>
    <w:rsid w:val="3B183375"/>
    <w:rsid w:val="3B3E5CA3"/>
    <w:rsid w:val="3B5DAB6B"/>
    <w:rsid w:val="3B73FE92"/>
    <w:rsid w:val="3B99247A"/>
    <w:rsid w:val="3B997BB6"/>
    <w:rsid w:val="3BAA7378"/>
    <w:rsid w:val="3BF986FD"/>
    <w:rsid w:val="3BFEF2B9"/>
    <w:rsid w:val="3C181B16"/>
    <w:rsid w:val="3C243EB8"/>
    <w:rsid w:val="3C376579"/>
    <w:rsid w:val="3C79E53A"/>
    <w:rsid w:val="3CD36534"/>
    <w:rsid w:val="3CF02881"/>
    <w:rsid w:val="3D19A425"/>
    <w:rsid w:val="3D8A0BD8"/>
    <w:rsid w:val="3DC3FEE8"/>
    <w:rsid w:val="3E905908"/>
    <w:rsid w:val="3EDE7FA2"/>
    <w:rsid w:val="3F05EEA8"/>
    <w:rsid w:val="3F22E4FB"/>
    <w:rsid w:val="3F321364"/>
    <w:rsid w:val="3F983731"/>
    <w:rsid w:val="3FD01E2B"/>
    <w:rsid w:val="409A1952"/>
    <w:rsid w:val="40A4232D"/>
    <w:rsid w:val="4110C01F"/>
    <w:rsid w:val="411538B5"/>
    <w:rsid w:val="41A65161"/>
    <w:rsid w:val="41EE0099"/>
    <w:rsid w:val="41F4B130"/>
    <w:rsid w:val="422E4A76"/>
    <w:rsid w:val="42789C41"/>
    <w:rsid w:val="428D1376"/>
    <w:rsid w:val="42B08793"/>
    <w:rsid w:val="43410136"/>
    <w:rsid w:val="43957827"/>
    <w:rsid w:val="4438BEE3"/>
    <w:rsid w:val="4443EF5E"/>
    <w:rsid w:val="4446EDB6"/>
    <w:rsid w:val="444E8A19"/>
    <w:rsid w:val="44D756C7"/>
    <w:rsid w:val="45249450"/>
    <w:rsid w:val="4552657D"/>
    <w:rsid w:val="45A7A656"/>
    <w:rsid w:val="45BE6523"/>
    <w:rsid w:val="45C028C3"/>
    <w:rsid w:val="460E66E7"/>
    <w:rsid w:val="462140E8"/>
    <w:rsid w:val="4699463D"/>
    <w:rsid w:val="46B6EF27"/>
    <w:rsid w:val="46D8B82D"/>
    <w:rsid w:val="46E2DC1D"/>
    <w:rsid w:val="477CDFB7"/>
    <w:rsid w:val="47AD1C47"/>
    <w:rsid w:val="47B12EFC"/>
    <w:rsid w:val="480727A4"/>
    <w:rsid w:val="480EF789"/>
    <w:rsid w:val="48179832"/>
    <w:rsid w:val="48953C50"/>
    <w:rsid w:val="48BA9720"/>
    <w:rsid w:val="48DF6869"/>
    <w:rsid w:val="48DFF78B"/>
    <w:rsid w:val="4907CBFC"/>
    <w:rsid w:val="491B6846"/>
    <w:rsid w:val="49810ED2"/>
    <w:rsid w:val="4A1BC18E"/>
    <w:rsid w:val="4A2CB467"/>
    <w:rsid w:val="4A3BF00B"/>
    <w:rsid w:val="4A6BE8DF"/>
    <w:rsid w:val="4AA9EE0D"/>
    <w:rsid w:val="4B865235"/>
    <w:rsid w:val="4BAF5C6B"/>
    <w:rsid w:val="4BAFF0BB"/>
    <w:rsid w:val="4BD21372"/>
    <w:rsid w:val="4BD31734"/>
    <w:rsid w:val="4C10F192"/>
    <w:rsid w:val="4C7F03DE"/>
    <w:rsid w:val="4CA78C20"/>
    <w:rsid w:val="4CB7B68F"/>
    <w:rsid w:val="4CCB4307"/>
    <w:rsid w:val="4D60EE52"/>
    <w:rsid w:val="4DA38E2D"/>
    <w:rsid w:val="4DF92186"/>
    <w:rsid w:val="4E504B18"/>
    <w:rsid w:val="4E556AE8"/>
    <w:rsid w:val="4EB333C4"/>
    <w:rsid w:val="4EC33B47"/>
    <w:rsid w:val="4F371368"/>
    <w:rsid w:val="4F509277"/>
    <w:rsid w:val="4FB45245"/>
    <w:rsid w:val="4FBB14A5"/>
    <w:rsid w:val="4FBD7106"/>
    <w:rsid w:val="4FE9CE93"/>
    <w:rsid w:val="4FF768FA"/>
    <w:rsid w:val="50712223"/>
    <w:rsid w:val="50A94575"/>
    <w:rsid w:val="50E76040"/>
    <w:rsid w:val="510DCC61"/>
    <w:rsid w:val="51180E1F"/>
    <w:rsid w:val="513B923E"/>
    <w:rsid w:val="51466F09"/>
    <w:rsid w:val="51570951"/>
    <w:rsid w:val="516E85FB"/>
    <w:rsid w:val="517F5A3D"/>
    <w:rsid w:val="51C3CBEC"/>
    <w:rsid w:val="521F496D"/>
    <w:rsid w:val="5253A03F"/>
    <w:rsid w:val="528330A1"/>
    <w:rsid w:val="5287C51C"/>
    <w:rsid w:val="531A0633"/>
    <w:rsid w:val="53883866"/>
    <w:rsid w:val="54038653"/>
    <w:rsid w:val="5413A6A7"/>
    <w:rsid w:val="541F0102"/>
    <w:rsid w:val="542C2191"/>
    <w:rsid w:val="5437A7F6"/>
    <w:rsid w:val="5482B07C"/>
    <w:rsid w:val="5492AAAC"/>
    <w:rsid w:val="5492C844"/>
    <w:rsid w:val="54ECCA7C"/>
    <w:rsid w:val="54F1DB47"/>
    <w:rsid w:val="54FAE2E7"/>
    <w:rsid w:val="555035D1"/>
    <w:rsid w:val="55AF99AC"/>
    <w:rsid w:val="55CE4E53"/>
    <w:rsid w:val="55DBCE34"/>
    <w:rsid w:val="55E059E8"/>
    <w:rsid w:val="560CAD33"/>
    <w:rsid w:val="5633B73B"/>
    <w:rsid w:val="56342EAF"/>
    <w:rsid w:val="56A07E68"/>
    <w:rsid w:val="56A5CC53"/>
    <w:rsid w:val="56A8AAA1"/>
    <w:rsid w:val="56AED860"/>
    <w:rsid w:val="56D744AC"/>
    <w:rsid w:val="57306CD3"/>
    <w:rsid w:val="57ACB6BC"/>
    <w:rsid w:val="57CCB4FF"/>
    <w:rsid w:val="57D028E0"/>
    <w:rsid w:val="58098CCE"/>
    <w:rsid w:val="58364154"/>
    <w:rsid w:val="587A33E3"/>
    <w:rsid w:val="58966BC8"/>
    <w:rsid w:val="5897C06E"/>
    <w:rsid w:val="59239988"/>
    <w:rsid w:val="594320F7"/>
    <w:rsid w:val="59B74385"/>
    <w:rsid w:val="5A080DC9"/>
    <w:rsid w:val="5A0E92F5"/>
    <w:rsid w:val="5A29AFD4"/>
    <w:rsid w:val="5A5BCC68"/>
    <w:rsid w:val="5AA8EDA6"/>
    <w:rsid w:val="5B0B2C1D"/>
    <w:rsid w:val="5B3EAFA0"/>
    <w:rsid w:val="5B596344"/>
    <w:rsid w:val="5B5D9086"/>
    <w:rsid w:val="5BADFEB9"/>
    <w:rsid w:val="5BFC43AB"/>
    <w:rsid w:val="5C04E08B"/>
    <w:rsid w:val="5C0D0975"/>
    <w:rsid w:val="5C1AB1B9"/>
    <w:rsid w:val="5C74A980"/>
    <w:rsid w:val="5C77BB0E"/>
    <w:rsid w:val="5CF8DBA2"/>
    <w:rsid w:val="5CFC9E3E"/>
    <w:rsid w:val="5D4E8ED4"/>
    <w:rsid w:val="5D5F8128"/>
    <w:rsid w:val="5DB4A871"/>
    <w:rsid w:val="5DBA2CC9"/>
    <w:rsid w:val="5DDB1BD6"/>
    <w:rsid w:val="5E1B1353"/>
    <w:rsid w:val="5EA082CC"/>
    <w:rsid w:val="5EF625AD"/>
    <w:rsid w:val="5F135C3E"/>
    <w:rsid w:val="5F26CC31"/>
    <w:rsid w:val="5FD2D3F1"/>
    <w:rsid w:val="5FFB7656"/>
    <w:rsid w:val="60C5258C"/>
    <w:rsid w:val="60E15C75"/>
    <w:rsid w:val="60E60A3D"/>
    <w:rsid w:val="61574711"/>
    <w:rsid w:val="6159A38E"/>
    <w:rsid w:val="616EFCF3"/>
    <w:rsid w:val="61BF79AB"/>
    <w:rsid w:val="61C52419"/>
    <w:rsid w:val="61D70230"/>
    <w:rsid w:val="6268EF18"/>
    <w:rsid w:val="628C2568"/>
    <w:rsid w:val="629D0AFF"/>
    <w:rsid w:val="62A1346E"/>
    <w:rsid w:val="62BCF36D"/>
    <w:rsid w:val="62DAFF0D"/>
    <w:rsid w:val="630F1F87"/>
    <w:rsid w:val="63465CC0"/>
    <w:rsid w:val="634FB0D7"/>
    <w:rsid w:val="637D03ED"/>
    <w:rsid w:val="646D4757"/>
    <w:rsid w:val="6475AF48"/>
    <w:rsid w:val="6479FFF4"/>
    <w:rsid w:val="649BE145"/>
    <w:rsid w:val="64D8E9E3"/>
    <w:rsid w:val="64FB42EB"/>
    <w:rsid w:val="65029807"/>
    <w:rsid w:val="6528E7BF"/>
    <w:rsid w:val="6545EAD1"/>
    <w:rsid w:val="655B5449"/>
    <w:rsid w:val="65628406"/>
    <w:rsid w:val="65AE7F7F"/>
    <w:rsid w:val="65B8EC33"/>
    <w:rsid w:val="65D3BA9A"/>
    <w:rsid w:val="65DE92CF"/>
    <w:rsid w:val="65EC6B3D"/>
    <w:rsid w:val="6625B1F0"/>
    <w:rsid w:val="669E05A1"/>
    <w:rsid w:val="66A5B5FD"/>
    <w:rsid w:val="66BEAF96"/>
    <w:rsid w:val="66E825A6"/>
    <w:rsid w:val="6744CA35"/>
    <w:rsid w:val="674F5735"/>
    <w:rsid w:val="678EB01D"/>
    <w:rsid w:val="67A7886B"/>
    <w:rsid w:val="67C01FC7"/>
    <w:rsid w:val="682EE871"/>
    <w:rsid w:val="683D1AB7"/>
    <w:rsid w:val="683E12D3"/>
    <w:rsid w:val="6884A2D9"/>
    <w:rsid w:val="68E3B0A2"/>
    <w:rsid w:val="68F56849"/>
    <w:rsid w:val="69249A2F"/>
    <w:rsid w:val="6928B680"/>
    <w:rsid w:val="69E25FAD"/>
    <w:rsid w:val="6A69555F"/>
    <w:rsid w:val="6A9EC0F1"/>
    <w:rsid w:val="6AE06625"/>
    <w:rsid w:val="6AEDA22E"/>
    <w:rsid w:val="6AF6966B"/>
    <w:rsid w:val="6B339691"/>
    <w:rsid w:val="6BB93B56"/>
    <w:rsid w:val="6BE26BD8"/>
    <w:rsid w:val="6C0C30AC"/>
    <w:rsid w:val="6C2A503B"/>
    <w:rsid w:val="6C357CAB"/>
    <w:rsid w:val="6C36DF8C"/>
    <w:rsid w:val="6C5FCBD3"/>
    <w:rsid w:val="6CBE7419"/>
    <w:rsid w:val="6CD17D62"/>
    <w:rsid w:val="6CE662D5"/>
    <w:rsid w:val="6D35FD75"/>
    <w:rsid w:val="6D659D6F"/>
    <w:rsid w:val="6DEDA1FB"/>
    <w:rsid w:val="6E097BBF"/>
    <w:rsid w:val="6E0E1ECF"/>
    <w:rsid w:val="6E27A05B"/>
    <w:rsid w:val="6E83ECA5"/>
    <w:rsid w:val="6E9E574A"/>
    <w:rsid w:val="6F04FE0A"/>
    <w:rsid w:val="6F2A4B52"/>
    <w:rsid w:val="6F4B175A"/>
    <w:rsid w:val="6F787B4F"/>
    <w:rsid w:val="702352B8"/>
    <w:rsid w:val="7060966E"/>
    <w:rsid w:val="7061EF2F"/>
    <w:rsid w:val="709598B0"/>
    <w:rsid w:val="71247DC1"/>
    <w:rsid w:val="7127A93B"/>
    <w:rsid w:val="712F747A"/>
    <w:rsid w:val="71485E1F"/>
    <w:rsid w:val="7166D683"/>
    <w:rsid w:val="717576EF"/>
    <w:rsid w:val="7195E922"/>
    <w:rsid w:val="71A2A854"/>
    <w:rsid w:val="71FBEA2C"/>
    <w:rsid w:val="7257FACB"/>
    <w:rsid w:val="72640DE0"/>
    <w:rsid w:val="731D5775"/>
    <w:rsid w:val="732B3E67"/>
    <w:rsid w:val="73712340"/>
    <w:rsid w:val="73964FC7"/>
    <w:rsid w:val="73B25E16"/>
    <w:rsid w:val="73B984A5"/>
    <w:rsid w:val="73CC2A66"/>
    <w:rsid w:val="73D57B0D"/>
    <w:rsid w:val="73D96BA4"/>
    <w:rsid w:val="74154BF9"/>
    <w:rsid w:val="743AFF46"/>
    <w:rsid w:val="743C3581"/>
    <w:rsid w:val="7466D641"/>
    <w:rsid w:val="74899D08"/>
    <w:rsid w:val="75328E85"/>
    <w:rsid w:val="754276BB"/>
    <w:rsid w:val="75A6410E"/>
    <w:rsid w:val="75A8708C"/>
    <w:rsid w:val="7615D352"/>
    <w:rsid w:val="76309009"/>
    <w:rsid w:val="76D8CAB4"/>
    <w:rsid w:val="770F5BB4"/>
    <w:rsid w:val="77E69DE3"/>
    <w:rsid w:val="77FCE7AF"/>
    <w:rsid w:val="78093EB8"/>
    <w:rsid w:val="788A65F0"/>
    <w:rsid w:val="79B40D7E"/>
    <w:rsid w:val="79E922B3"/>
    <w:rsid w:val="79EB7EAF"/>
    <w:rsid w:val="7A331126"/>
    <w:rsid w:val="7A38FED2"/>
    <w:rsid w:val="7A754B9F"/>
    <w:rsid w:val="7A854F99"/>
    <w:rsid w:val="7AA0DBFC"/>
    <w:rsid w:val="7AB9AD22"/>
    <w:rsid w:val="7AF24DAC"/>
    <w:rsid w:val="7AF6F76A"/>
    <w:rsid w:val="7B31726F"/>
    <w:rsid w:val="7B371652"/>
    <w:rsid w:val="7B77B888"/>
    <w:rsid w:val="7B7FB658"/>
    <w:rsid w:val="7B9FDF29"/>
    <w:rsid w:val="7C16AFAA"/>
    <w:rsid w:val="7C18A40C"/>
    <w:rsid w:val="7C1EF84A"/>
    <w:rsid w:val="7C2660E0"/>
    <w:rsid w:val="7C4F643A"/>
    <w:rsid w:val="7C60A9E2"/>
    <w:rsid w:val="7C6C33D6"/>
    <w:rsid w:val="7C719237"/>
    <w:rsid w:val="7C7C61F5"/>
    <w:rsid w:val="7C85C00B"/>
    <w:rsid w:val="7CE9CC66"/>
    <w:rsid w:val="7D22D9E2"/>
    <w:rsid w:val="7D792365"/>
    <w:rsid w:val="7D84C456"/>
    <w:rsid w:val="7D8ECD09"/>
    <w:rsid w:val="7EB402AF"/>
    <w:rsid w:val="7F054A1E"/>
    <w:rsid w:val="7F11558B"/>
    <w:rsid w:val="7F29688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67F30DC"/>
  <w15:chartTrackingRefBased/>
  <w15:docId w15:val="{D3E4462F-26A7-4463-9785-B2351FCD4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05E0"/>
    <w:pPr>
      <w:spacing w:before="120" w:after="120" w:line="276" w:lineRule="auto"/>
    </w:pPr>
    <w:rPr>
      <w:lang w:val="el-GR"/>
    </w:rPr>
  </w:style>
  <w:style w:type="paragraph" w:styleId="1">
    <w:name w:val="heading 1"/>
    <w:basedOn w:val="a"/>
    <w:next w:val="a"/>
    <w:link w:val="1Char"/>
    <w:uiPriority w:val="9"/>
    <w:qFormat/>
    <w:rsid w:val="00913EAD"/>
    <w:pPr>
      <w:keepNext/>
      <w:keepLines/>
      <w:pageBreakBefore/>
      <w:numPr>
        <w:numId w:val="22"/>
      </w:numPr>
      <w:ind w:left="431" w:hanging="431"/>
      <w:outlineLvl w:val="0"/>
    </w:pPr>
    <w:rPr>
      <w:rFonts w:asciiTheme="majorHAnsi" w:eastAsiaTheme="majorEastAsia" w:hAnsiTheme="majorHAnsi" w:cstheme="majorBidi"/>
      <w:b/>
      <w:color w:val="2F5496" w:themeColor="accent1" w:themeShade="BF"/>
      <w:sz w:val="32"/>
      <w:szCs w:val="32"/>
    </w:rPr>
  </w:style>
  <w:style w:type="paragraph" w:styleId="2">
    <w:name w:val="heading 2"/>
    <w:basedOn w:val="a"/>
    <w:next w:val="a"/>
    <w:link w:val="2Char"/>
    <w:uiPriority w:val="9"/>
    <w:unhideWhenUsed/>
    <w:qFormat/>
    <w:rsid w:val="00913EAD"/>
    <w:pPr>
      <w:keepNext/>
      <w:keepLines/>
      <w:numPr>
        <w:ilvl w:val="1"/>
        <w:numId w:val="22"/>
      </w:numPr>
      <w:spacing w:before="240" w:after="0"/>
      <w:outlineLvl w:val="1"/>
    </w:pPr>
    <w:rPr>
      <w:rFonts w:asciiTheme="majorHAnsi" w:eastAsiaTheme="majorEastAsia" w:hAnsiTheme="majorHAnsi" w:cstheme="majorBidi"/>
      <w:color w:val="2F5496" w:themeColor="accent1" w:themeShade="BF"/>
      <w:sz w:val="28"/>
      <w:szCs w:val="26"/>
    </w:rPr>
  </w:style>
  <w:style w:type="paragraph" w:styleId="3">
    <w:name w:val="heading 3"/>
    <w:basedOn w:val="a"/>
    <w:next w:val="a"/>
    <w:link w:val="3Char"/>
    <w:uiPriority w:val="9"/>
    <w:unhideWhenUsed/>
    <w:qFormat/>
    <w:rsid w:val="00913EAD"/>
    <w:pPr>
      <w:keepNext/>
      <w:keepLines/>
      <w:numPr>
        <w:ilvl w:val="2"/>
        <w:numId w:val="22"/>
      </w:numPr>
      <w:spacing w:before="60" w:after="0"/>
      <w:outlineLvl w:val="2"/>
    </w:pPr>
    <w:rPr>
      <w:rFonts w:asciiTheme="majorHAnsi" w:eastAsiaTheme="majorEastAsia" w:hAnsiTheme="majorHAnsi" w:cstheme="majorBidi"/>
      <w:color w:val="2F5496" w:themeColor="accent1" w:themeShade="BF"/>
      <w:sz w:val="24"/>
      <w:szCs w:val="24"/>
    </w:rPr>
  </w:style>
  <w:style w:type="paragraph" w:styleId="4">
    <w:name w:val="heading 4"/>
    <w:basedOn w:val="a"/>
    <w:next w:val="a"/>
    <w:link w:val="4Char"/>
    <w:uiPriority w:val="9"/>
    <w:unhideWhenUsed/>
    <w:qFormat/>
    <w:rsid w:val="00152A7E"/>
    <w:pPr>
      <w:keepNext/>
      <w:keepLines/>
      <w:numPr>
        <w:ilvl w:val="3"/>
        <w:numId w:val="22"/>
      </w:numPr>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Char"/>
    <w:uiPriority w:val="9"/>
    <w:unhideWhenUsed/>
    <w:qFormat/>
    <w:rsid w:val="00152A7E"/>
    <w:pPr>
      <w:keepNext/>
      <w:keepLines/>
      <w:numPr>
        <w:ilvl w:val="4"/>
        <w:numId w:val="22"/>
      </w:numPr>
      <w:spacing w:before="4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Char"/>
    <w:uiPriority w:val="9"/>
    <w:unhideWhenUsed/>
    <w:qFormat/>
    <w:rsid w:val="00162A25"/>
    <w:pPr>
      <w:keepNext/>
      <w:keepLines/>
      <w:numPr>
        <w:ilvl w:val="5"/>
        <w:numId w:val="22"/>
      </w:numPr>
      <w:spacing w:before="40"/>
      <w:outlineLvl w:val="5"/>
    </w:pPr>
    <w:rPr>
      <w:rFonts w:asciiTheme="majorHAnsi" w:eastAsiaTheme="majorEastAsia" w:hAnsiTheme="majorHAnsi" w:cstheme="majorBidi"/>
      <w:color w:val="1F3763" w:themeColor="accent1" w:themeShade="7F"/>
    </w:rPr>
  </w:style>
  <w:style w:type="paragraph" w:styleId="7">
    <w:name w:val="heading 7"/>
    <w:basedOn w:val="a"/>
    <w:next w:val="a"/>
    <w:link w:val="7Char"/>
    <w:uiPriority w:val="9"/>
    <w:semiHidden/>
    <w:unhideWhenUsed/>
    <w:qFormat/>
    <w:rsid w:val="00162A25"/>
    <w:pPr>
      <w:keepNext/>
      <w:keepLines/>
      <w:numPr>
        <w:ilvl w:val="6"/>
        <w:numId w:val="22"/>
      </w:numPr>
      <w:spacing w:before="40"/>
      <w:outlineLvl w:val="6"/>
    </w:pPr>
    <w:rPr>
      <w:rFonts w:asciiTheme="majorHAnsi" w:eastAsiaTheme="majorEastAsia" w:hAnsiTheme="majorHAnsi" w:cstheme="majorBidi"/>
      <w:i/>
      <w:iCs/>
      <w:color w:val="1F3763" w:themeColor="accent1" w:themeShade="7F"/>
      <w:sz w:val="20"/>
      <w:szCs w:val="20"/>
    </w:rPr>
  </w:style>
  <w:style w:type="paragraph" w:styleId="8">
    <w:name w:val="heading 8"/>
    <w:basedOn w:val="a"/>
    <w:next w:val="a"/>
    <w:link w:val="8Char"/>
    <w:uiPriority w:val="9"/>
    <w:semiHidden/>
    <w:unhideWhenUsed/>
    <w:qFormat/>
    <w:rsid w:val="00162A25"/>
    <w:pPr>
      <w:keepNext/>
      <w:keepLines/>
      <w:numPr>
        <w:ilvl w:val="7"/>
        <w:numId w:val="22"/>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Char"/>
    <w:uiPriority w:val="9"/>
    <w:semiHidden/>
    <w:unhideWhenUsed/>
    <w:qFormat/>
    <w:rsid w:val="00162A25"/>
    <w:pPr>
      <w:keepNext/>
      <w:keepLines/>
      <w:numPr>
        <w:ilvl w:val="8"/>
        <w:numId w:val="2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913EAD"/>
    <w:rPr>
      <w:rFonts w:asciiTheme="majorHAnsi" w:eastAsiaTheme="majorEastAsia" w:hAnsiTheme="majorHAnsi" w:cstheme="majorBidi"/>
      <w:b/>
      <w:color w:val="2F5496" w:themeColor="accent1" w:themeShade="BF"/>
      <w:sz w:val="32"/>
      <w:szCs w:val="32"/>
      <w:lang w:val="el-GR"/>
    </w:rPr>
  </w:style>
  <w:style w:type="paragraph" w:styleId="a3">
    <w:name w:val="Title"/>
    <w:basedOn w:val="a"/>
    <w:next w:val="a"/>
    <w:link w:val="Char"/>
    <w:uiPriority w:val="10"/>
    <w:qFormat/>
    <w:rsid w:val="009D1891"/>
    <w:pPr>
      <w:spacing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9D1891"/>
    <w:rPr>
      <w:rFonts w:asciiTheme="majorHAnsi" w:eastAsiaTheme="majorEastAsia" w:hAnsiTheme="majorHAnsi" w:cstheme="majorBidi"/>
      <w:spacing w:val="-10"/>
      <w:kern w:val="28"/>
      <w:sz w:val="56"/>
      <w:szCs w:val="56"/>
    </w:rPr>
  </w:style>
  <w:style w:type="character" w:customStyle="1" w:styleId="2Char">
    <w:name w:val="Επικεφαλίδα 2 Char"/>
    <w:basedOn w:val="a0"/>
    <w:link w:val="2"/>
    <w:uiPriority w:val="9"/>
    <w:rsid w:val="00913EAD"/>
    <w:rPr>
      <w:rFonts w:asciiTheme="majorHAnsi" w:eastAsiaTheme="majorEastAsia" w:hAnsiTheme="majorHAnsi" w:cstheme="majorBidi"/>
      <w:color w:val="2F5496" w:themeColor="accent1" w:themeShade="BF"/>
      <w:sz w:val="28"/>
      <w:szCs w:val="26"/>
      <w:lang w:val="el-GR"/>
    </w:rPr>
  </w:style>
  <w:style w:type="paragraph" w:styleId="a4">
    <w:name w:val="footnote text"/>
    <w:basedOn w:val="a"/>
    <w:link w:val="Char0"/>
    <w:uiPriority w:val="99"/>
    <w:unhideWhenUsed/>
    <w:rsid w:val="00964920"/>
    <w:pPr>
      <w:spacing w:before="0" w:line="240" w:lineRule="auto"/>
    </w:pPr>
    <w:rPr>
      <w:sz w:val="18"/>
      <w:szCs w:val="20"/>
    </w:rPr>
  </w:style>
  <w:style w:type="character" w:customStyle="1" w:styleId="Char0">
    <w:name w:val="Κείμενο υποσημείωσης Char"/>
    <w:basedOn w:val="a0"/>
    <w:link w:val="a4"/>
    <w:uiPriority w:val="99"/>
    <w:rsid w:val="00964920"/>
    <w:rPr>
      <w:sz w:val="18"/>
      <w:szCs w:val="20"/>
    </w:rPr>
  </w:style>
  <w:style w:type="character" w:styleId="a5">
    <w:name w:val="footnote reference"/>
    <w:basedOn w:val="a0"/>
    <w:uiPriority w:val="99"/>
    <w:semiHidden/>
    <w:unhideWhenUsed/>
    <w:rsid w:val="004A137E"/>
    <w:rPr>
      <w:vertAlign w:val="superscript"/>
    </w:rPr>
  </w:style>
  <w:style w:type="character" w:customStyle="1" w:styleId="3Char">
    <w:name w:val="Επικεφαλίδα 3 Char"/>
    <w:basedOn w:val="a0"/>
    <w:link w:val="3"/>
    <w:uiPriority w:val="9"/>
    <w:rsid w:val="00913EAD"/>
    <w:rPr>
      <w:rFonts w:asciiTheme="majorHAnsi" w:eastAsiaTheme="majorEastAsia" w:hAnsiTheme="majorHAnsi" w:cstheme="majorBidi"/>
      <w:color w:val="2F5496" w:themeColor="accent1" w:themeShade="BF"/>
      <w:sz w:val="24"/>
      <w:szCs w:val="24"/>
      <w:lang w:val="el-GR"/>
    </w:rPr>
  </w:style>
  <w:style w:type="character" w:styleId="-">
    <w:name w:val="Hyperlink"/>
    <w:basedOn w:val="a0"/>
    <w:uiPriority w:val="99"/>
    <w:unhideWhenUsed/>
    <w:rsid w:val="00EE411F"/>
    <w:rPr>
      <w:color w:val="0563C1" w:themeColor="hyperlink"/>
      <w:u w:val="single"/>
    </w:rPr>
  </w:style>
  <w:style w:type="paragraph" w:styleId="a6">
    <w:name w:val="TOC Heading"/>
    <w:basedOn w:val="1"/>
    <w:next w:val="a"/>
    <w:uiPriority w:val="39"/>
    <w:unhideWhenUsed/>
    <w:qFormat/>
    <w:rsid w:val="00EE411F"/>
    <w:pPr>
      <w:pageBreakBefore w:val="0"/>
      <w:spacing w:before="240" w:after="0" w:line="259" w:lineRule="auto"/>
      <w:ind w:left="0" w:firstLine="0"/>
      <w:outlineLvl w:val="9"/>
    </w:pPr>
    <w:rPr>
      <w:b w:val="0"/>
    </w:rPr>
  </w:style>
  <w:style w:type="paragraph" w:styleId="10">
    <w:name w:val="toc 1"/>
    <w:basedOn w:val="a"/>
    <w:next w:val="a"/>
    <w:autoRedefine/>
    <w:uiPriority w:val="39"/>
    <w:unhideWhenUsed/>
    <w:rsid w:val="004E3113"/>
    <w:pPr>
      <w:tabs>
        <w:tab w:val="left" w:pos="440"/>
        <w:tab w:val="right" w:leader="dot" w:pos="9350"/>
      </w:tabs>
      <w:spacing w:line="240" w:lineRule="auto"/>
    </w:pPr>
  </w:style>
  <w:style w:type="paragraph" w:styleId="20">
    <w:name w:val="toc 2"/>
    <w:basedOn w:val="a"/>
    <w:next w:val="a"/>
    <w:autoRedefine/>
    <w:uiPriority w:val="39"/>
    <w:unhideWhenUsed/>
    <w:rsid w:val="007F0630"/>
    <w:pPr>
      <w:tabs>
        <w:tab w:val="left" w:pos="880"/>
        <w:tab w:val="right" w:leader="dot" w:pos="9350"/>
      </w:tabs>
      <w:spacing w:before="60" w:after="0" w:line="240" w:lineRule="auto"/>
      <w:ind w:left="221"/>
    </w:pPr>
    <w:rPr>
      <w:sz w:val="20"/>
    </w:rPr>
  </w:style>
  <w:style w:type="paragraph" w:styleId="30">
    <w:name w:val="toc 3"/>
    <w:basedOn w:val="a"/>
    <w:next w:val="a"/>
    <w:autoRedefine/>
    <w:uiPriority w:val="39"/>
    <w:unhideWhenUsed/>
    <w:rsid w:val="004E3113"/>
    <w:pPr>
      <w:tabs>
        <w:tab w:val="left" w:pos="1320"/>
        <w:tab w:val="right" w:leader="dot" w:pos="9350"/>
      </w:tabs>
      <w:spacing w:before="0" w:line="240" w:lineRule="auto"/>
      <w:ind w:left="442"/>
      <w:contextualSpacing/>
    </w:pPr>
    <w:rPr>
      <w:noProof/>
      <w:sz w:val="18"/>
    </w:rPr>
  </w:style>
  <w:style w:type="character" w:customStyle="1" w:styleId="4Char">
    <w:name w:val="Επικεφαλίδα 4 Char"/>
    <w:basedOn w:val="a0"/>
    <w:link w:val="4"/>
    <w:uiPriority w:val="9"/>
    <w:rsid w:val="00152A7E"/>
    <w:rPr>
      <w:rFonts w:asciiTheme="majorHAnsi" w:eastAsiaTheme="majorEastAsia" w:hAnsiTheme="majorHAnsi" w:cstheme="majorBidi"/>
      <w:i/>
      <w:iCs/>
      <w:color w:val="2F5496" w:themeColor="accent1" w:themeShade="BF"/>
      <w:lang w:val="el-GR"/>
    </w:rPr>
  </w:style>
  <w:style w:type="character" w:customStyle="1" w:styleId="5Char">
    <w:name w:val="Επικεφαλίδα 5 Char"/>
    <w:basedOn w:val="a0"/>
    <w:link w:val="5"/>
    <w:uiPriority w:val="9"/>
    <w:rsid w:val="00152A7E"/>
    <w:rPr>
      <w:rFonts w:asciiTheme="majorHAnsi" w:eastAsiaTheme="majorEastAsia" w:hAnsiTheme="majorHAnsi" w:cstheme="majorBidi"/>
      <w:color w:val="2F5496" w:themeColor="accent1" w:themeShade="BF"/>
      <w:lang w:val="el-GR"/>
    </w:rPr>
  </w:style>
  <w:style w:type="table" w:styleId="a7">
    <w:name w:val="Table Grid"/>
    <w:basedOn w:val="a1"/>
    <w:uiPriority w:val="39"/>
    <w:rsid w:val="00693046"/>
    <w:pPr>
      <w:spacing w:after="0" w:line="240" w:lineRule="auto"/>
    </w:pPr>
    <w:rPr>
      <w:rFonts w:ascii="Calibri" w:hAnsi="Calibri" w:cs="Times New Roman"/>
      <w:sz w:val="1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style>
  <w:style w:type="paragraph" w:styleId="a8">
    <w:name w:val="List Paragraph"/>
    <w:basedOn w:val="a"/>
    <w:uiPriority w:val="34"/>
    <w:qFormat/>
    <w:rsid w:val="0074496E"/>
    <w:pPr>
      <w:spacing w:before="60" w:after="60" w:line="264" w:lineRule="auto"/>
      <w:ind w:left="720"/>
      <w:contextualSpacing/>
    </w:pPr>
    <w:rPr>
      <w:rFonts w:ascii="Calibri" w:hAnsi="Calibri" w:cs="Times New Roman"/>
      <w:szCs w:val="20"/>
    </w:rPr>
  </w:style>
  <w:style w:type="character" w:customStyle="1" w:styleId="6Char">
    <w:name w:val="Επικεφαλίδα 6 Char"/>
    <w:basedOn w:val="a0"/>
    <w:link w:val="6"/>
    <w:uiPriority w:val="9"/>
    <w:rsid w:val="00162A25"/>
    <w:rPr>
      <w:rFonts w:asciiTheme="majorHAnsi" w:eastAsiaTheme="majorEastAsia" w:hAnsiTheme="majorHAnsi" w:cstheme="majorBidi"/>
      <w:color w:val="1F3763" w:themeColor="accent1" w:themeShade="7F"/>
      <w:lang w:val="el-GR"/>
    </w:rPr>
  </w:style>
  <w:style w:type="table" w:customStyle="1" w:styleId="TableGrid1">
    <w:name w:val="Table Grid1"/>
    <w:basedOn w:val="a1"/>
    <w:next w:val="a7"/>
    <w:uiPriority w:val="39"/>
    <w:rsid w:val="00162A25"/>
    <w:pPr>
      <w:spacing w:after="0" w:line="240" w:lineRule="auto"/>
    </w:pPr>
    <w:rPr>
      <w:rFonts w:ascii="Verdana" w:hAnsi="Verdan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Char">
    <w:name w:val="Επικεφαλίδα 7 Char"/>
    <w:basedOn w:val="a0"/>
    <w:link w:val="7"/>
    <w:uiPriority w:val="9"/>
    <w:semiHidden/>
    <w:rsid w:val="00162A25"/>
    <w:rPr>
      <w:rFonts w:asciiTheme="majorHAnsi" w:eastAsiaTheme="majorEastAsia" w:hAnsiTheme="majorHAnsi" w:cstheme="majorBidi"/>
      <w:i/>
      <w:iCs/>
      <w:color w:val="1F3763" w:themeColor="accent1" w:themeShade="7F"/>
      <w:sz w:val="20"/>
      <w:szCs w:val="20"/>
      <w:lang w:val="el-GR"/>
    </w:rPr>
  </w:style>
  <w:style w:type="character" w:customStyle="1" w:styleId="8Char">
    <w:name w:val="Επικεφαλίδα 8 Char"/>
    <w:basedOn w:val="a0"/>
    <w:link w:val="8"/>
    <w:uiPriority w:val="9"/>
    <w:semiHidden/>
    <w:rsid w:val="00162A25"/>
    <w:rPr>
      <w:rFonts w:asciiTheme="majorHAnsi" w:eastAsiaTheme="majorEastAsia" w:hAnsiTheme="majorHAnsi" w:cstheme="majorBidi"/>
      <w:color w:val="272727" w:themeColor="text1" w:themeTint="D8"/>
      <w:sz w:val="21"/>
      <w:szCs w:val="21"/>
      <w:lang w:val="el-GR"/>
    </w:rPr>
  </w:style>
  <w:style w:type="character" w:customStyle="1" w:styleId="9Char">
    <w:name w:val="Επικεφαλίδα 9 Char"/>
    <w:basedOn w:val="a0"/>
    <w:link w:val="9"/>
    <w:uiPriority w:val="9"/>
    <w:semiHidden/>
    <w:rsid w:val="00162A25"/>
    <w:rPr>
      <w:rFonts w:asciiTheme="majorHAnsi" w:eastAsiaTheme="majorEastAsia" w:hAnsiTheme="majorHAnsi" w:cstheme="majorBidi"/>
      <w:i/>
      <w:iCs/>
      <w:color w:val="272727" w:themeColor="text1" w:themeTint="D8"/>
      <w:sz w:val="21"/>
      <w:szCs w:val="21"/>
      <w:lang w:val="el-GR"/>
    </w:rPr>
  </w:style>
  <w:style w:type="character" w:customStyle="1" w:styleId="Heading1">
    <w:name w:val="Heading #1_"/>
    <w:basedOn w:val="a0"/>
    <w:link w:val="Heading10"/>
    <w:rsid w:val="00162A25"/>
    <w:rPr>
      <w:rFonts w:ascii="Calibri" w:eastAsia="Calibri" w:hAnsi="Calibri" w:cs="Calibri"/>
      <w:color w:val="EBEBEB"/>
      <w:sz w:val="80"/>
      <w:szCs w:val="80"/>
      <w:shd w:val="clear" w:color="auto" w:fill="FFFFFF"/>
    </w:rPr>
  </w:style>
  <w:style w:type="character" w:customStyle="1" w:styleId="Heading3">
    <w:name w:val="Heading #3_"/>
    <w:basedOn w:val="a0"/>
    <w:link w:val="Heading30"/>
    <w:rsid w:val="00162A25"/>
    <w:rPr>
      <w:rFonts w:eastAsia="Verdana" w:cs="Verdana"/>
      <w:color w:val="EBEBEB"/>
      <w:sz w:val="28"/>
      <w:szCs w:val="28"/>
      <w:shd w:val="clear" w:color="auto" w:fill="FFFFFF"/>
    </w:rPr>
  </w:style>
  <w:style w:type="character" w:customStyle="1" w:styleId="Char1">
    <w:name w:val="Σώμα κειμένου Char"/>
    <w:basedOn w:val="a0"/>
    <w:link w:val="a9"/>
    <w:rsid w:val="00162A25"/>
    <w:rPr>
      <w:rFonts w:eastAsia="Verdana" w:cs="Verdana"/>
      <w:shd w:val="clear" w:color="auto" w:fill="FFFFFF"/>
    </w:rPr>
  </w:style>
  <w:style w:type="paragraph" w:customStyle="1" w:styleId="Heading10">
    <w:name w:val="Heading #1"/>
    <w:basedOn w:val="a"/>
    <w:link w:val="Heading1"/>
    <w:rsid w:val="00162A25"/>
    <w:pPr>
      <w:widowControl w:val="0"/>
      <w:shd w:val="clear" w:color="auto" w:fill="FFFFFF"/>
      <w:spacing w:before="0" w:line="240" w:lineRule="auto"/>
      <w:outlineLvl w:val="0"/>
    </w:pPr>
    <w:rPr>
      <w:rFonts w:ascii="Calibri" w:eastAsia="Calibri" w:hAnsi="Calibri" w:cs="Calibri"/>
      <w:color w:val="EBEBEB"/>
      <w:sz w:val="80"/>
      <w:szCs w:val="80"/>
    </w:rPr>
  </w:style>
  <w:style w:type="paragraph" w:customStyle="1" w:styleId="Heading30">
    <w:name w:val="Heading #3"/>
    <w:basedOn w:val="a"/>
    <w:link w:val="Heading3"/>
    <w:rsid w:val="00162A25"/>
    <w:pPr>
      <w:widowControl w:val="0"/>
      <w:shd w:val="clear" w:color="auto" w:fill="FFFFFF"/>
      <w:spacing w:before="0" w:after="160" w:line="240" w:lineRule="auto"/>
      <w:ind w:right="510"/>
      <w:outlineLvl w:val="2"/>
    </w:pPr>
    <w:rPr>
      <w:rFonts w:eastAsia="Verdana" w:cs="Verdana"/>
      <w:color w:val="EBEBEB"/>
      <w:sz w:val="28"/>
      <w:szCs w:val="28"/>
    </w:rPr>
  </w:style>
  <w:style w:type="paragraph" w:styleId="a9">
    <w:name w:val="Body Text"/>
    <w:basedOn w:val="a"/>
    <w:link w:val="Char1"/>
    <w:qFormat/>
    <w:rsid w:val="00162A25"/>
    <w:pPr>
      <w:widowControl w:val="0"/>
      <w:shd w:val="clear" w:color="auto" w:fill="FFFFFF"/>
      <w:spacing w:before="0" w:after="240"/>
      <w:jc w:val="both"/>
    </w:pPr>
    <w:rPr>
      <w:rFonts w:eastAsia="Verdana" w:cs="Verdana"/>
    </w:rPr>
  </w:style>
  <w:style w:type="character" w:customStyle="1" w:styleId="BodyTextChar1">
    <w:name w:val="Body Text Char1"/>
    <w:basedOn w:val="a0"/>
    <w:uiPriority w:val="99"/>
    <w:semiHidden/>
    <w:rsid w:val="00162A25"/>
  </w:style>
  <w:style w:type="paragraph" w:styleId="aa">
    <w:name w:val="Balloon Text"/>
    <w:basedOn w:val="a"/>
    <w:link w:val="Char2"/>
    <w:uiPriority w:val="99"/>
    <w:semiHidden/>
    <w:unhideWhenUsed/>
    <w:rsid w:val="00162A25"/>
    <w:pPr>
      <w:spacing w:before="0" w:line="240" w:lineRule="auto"/>
    </w:pPr>
    <w:rPr>
      <w:rFonts w:ascii="Segoe UI" w:hAnsi="Segoe UI" w:cs="Segoe UI"/>
      <w:sz w:val="18"/>
      <w:szCs w:val="18"/>
    </w:rPr>
  </w:style>
  <w:style w:type="character" w:customStyle="1" w:styleId="Char2">
    <w:name w:val="Κείμενο πλαισίου Char"/>
    <w:basedOn w:val="a0"/>
    <w:link w:val="aa"/>
    <w:uiPriority w:val="99"/>
    <w:semiHidden/>
    <w:rsid w:val="00162A25"/>
    <w:rPr>
      <w:rFonts w:ascii="Segoe UI" w:hAnsi="Segoe UI" w:cs="Segoe UI"/>
      <w:sz w:val="18"/>
      <w:szCs w:val="18"/>
    </w:rPr>
  </w:style>
  <w:style w:type="character" w:styleId="ab">
    <w:name w:val="annotation reference"/>
    <w:basedOn w:val="a0"/>
    <w:uiPriority w:val="99"/>
    <w:semiHidden/>
    <w:unhideWhenUsed/>
    <w:rsid w:val="00162A25"/>
    <w:rPr>
      <w:sz w:val="16"/>
      <w:szCs w:val="16"/>
    </w:rPr>
  </w:style>
  <w:style w:type="paragraph" w:styleId="ac">
    <w:name w:val="annotation text"/>
    <w:basedOn w:val="a"/>
    <w:link w:val="Char3"/>
    <w:uiPriority w:val="99"/>
    <w:unhideWhenUsed/>
    <w:rsid w:val="00162A25"/>
    <w:pPr>
      <w:spacing w:before="0" w:after="240" w:line="240" w:lineRule="auto"/>
    </w:pPr>
    <w:rPr>
      <w:rFonts w:ascii="Verdana" w:hAnsi="Verdana" w:cs="Times New Roman"/>
      <w:sz w:val="20"/>
      <w:szCs w:val="20"/>
    </w:rPr>
  </w:style>
  <w:style w:type="character" w:customStyle="1" w:styleId="Char3">
    <w:name w:val="Κείμενο σχολίου Char"/>
    <w:basedOn w:val="a0"/>
    <w:link w:val="ac"/>
    <w:uiPriority w:val="99"/>
    <w:rsid w:val="00162A25"/>
    <w:rPr>
      <w:rFonts w:ascii="Verdana" w:hAnsi="Verdana" w:cs="Times New Roman"/>
      <w:sz w:val="20"/>
      <w:szCs w:val="20"/>
    </w:rPr>
  </w:style>
  <w:style w:type="paragraph" w:styleId="ad">
    <w:name w:val="annotation subject"/>
    <w:basedOn w:val="ac"/>
    <w:next w:val="ac"/>
    <w:link w:val="Char4"/>
    <w:uiPriority w:val="99"/>
    <w:semiHidden/>
    <w:unhideWhenUsed/>
    <w:rsid w:val="00162A25"/>
    <w:rPr>
      <w:b/>
      <w:bCs/>
    </w:rPr>
  </w:style>
  <w:style w:type="character" w:customStyle="1" w:styleId="Char4">
    <w:name w:val="Θέμα σχολίου Char"/>
    <w:basedOn w:val="Char3"/>
    <w:link w:val="ad"/>
    <w:uiPriority w:val="99"/>
    <w:semiHidden/>
    <w:rsid w:val="00162A25"/>
    <w:rPr>
      <w:rFonts w:ascii="Verdana" w:hAnsi="Verdana" w:cs="Times New Roman"/>
      <w:b/>
      <w:bCs/>
      <w:sz w:val="20"/>
      <w:szCs w:val="20"/>
    </w:rPr>
  </w:style>
  <w:style w:type="character" w:customStyle="1" w:styleId="Other">
    <w:name w:val="Other_"/>
    <w:basedOn w:val="a0"/>
    <w:link w:val="Other0"/>
    <w:rsid w:val="00162A25"/>
    <w:rPr>
      <w:rFonts w:eastAsia="Verdana" w:cs="Verdana"/>
      <w:shd w:val="clear" w:color="auto" w:fill="FFFFFF"/>
    </w:rPr>
  </w:style>
  <w:style w:type="paragraph" w:customStyle="1" w:styleId="Other0">
    <w:name w:val="Other"/>
    <w:basedOn w:val="a"/>
    <w:link w:val="Other"/>
    <w:rsid w:val="00162A25"/>
    <w:pPr>
      <w:widowControl w:val="0"/>
      <w:shd w:val="clear" w:color="auto" w:fill="FFFFFF"/>
      <w:spacing w:before="0" w:after="240"/>
      <w:jc w:val="both"/>
    </w:pPr>
    <w:rPr>
      <w:rFonts w:eastAsia="Verdana" w:cs="Verdana"/>
    </w:rPr>
  </w:style>
  <w:style w:type="paragraph" w:styleId="ae">
    <w:name w:val="header"/>
    <w:basedOn w:val="a"/>
    <w:link w:val="Char5"/>
    <w:uiPriority w:val="99"/>
    <w:unhideWhenUsed/>
    <w:rsid w:val="00162A25"/>
    <w:pPr>
      <w:tabs>
        <w:tab w:val="center" w:pos="4320"/>
        <w:tab w:val="right" w:pos="8640"/>
      </w:tabs>
      <w:spacing w:before="0" w:line="240" w:lineRule="auto"/>
    </w:pPr>
    <w:rPr>
      <w:rFonts w:ascii="Verdana" w:hAnsi="Verdana" w:cs="Times New Roman"/>
      <w:sz w:val="20"/>
      <w:szCs w:val="20"/>
    </w:rPr>
  </w:style>
  <w:style w:type="character" w:customStyle="1" w:styleId="Char5">
    <w:name w:val="Κεφαλίδα Char"/>
    <w:basedOn w:val="a0"/>
    <w:link w:val="ae"/>
    <w:uiPriority w:val="99"/>
    <w:rsid w:val="00162A25"/>
    <w:rPr>
      <w:rFonts w:ascii="Verdana" w:hAnsi="Verdana" w:cs="Times New Roman"/>
      <w:sz w:val="20"/>
      <w:szCs w:val="20"/>
    </w:rPr>
  </w:style>
  <w:style w:type="paragraph" w:styleId="af">
    <w:name w:val="footer"/>
    <w:basedOn w:val="a"/>
    <w:link w:val="Char6"/>
    <w:uiPriority w:val="99"/>
    <w:unhideWhenUsed/>
    <w:rsid w:val="00162A25"/>
    <w:pPr>
      <w:tabs>
        <w:tab w:val="center" w:pos="4320"/>
        <w:tab w:val="right" w:pos="8640"/>
      </w:tabs>
      <w:spacing w:before="0" w:line="240" w:lineRule="auto"/>
    </w:pPr>
    <w:rPr>
      <w:rFonts w:ascii="Verdana" w:hAnsi="Verdana" w:cs="Times New Roman"/>
      <w:sz w:val="20"/>
      <w:szCs w:val="20"/>
    </w:rPr>
  </w:style>
  <w:style w:type="character" w:customStyle="1" w:styleId="Char6">
    <w:name w:val="Υποσέλιδο Char"/>
    <w:basedOn w:val="a0"/>
    <w:link w:val="af"/>
    <w:uiPriority w:val="99"/>
    <w:rsid w:val="00162A25"/>
    <w:rPr>
      <w:rFonts w:ascii="Verdana" w:hAnsi="Verdana" w:cs="Times New Roman"/>
      <w:sz w:val="20"/>
      <w:szCs w:val="20"/>
    </w:rPr>
  </w:style>
  <w:style w:type="character" w:styleId="-0">
    <w:name w:val="FollowedHyperlink"/>
    <w:basedOn w:val="a0"/>
    <w:uiPriority w:val="99"/>
    <w:semiHidden/>
    <w:unhideWhenUsed/>
    <w:rsid w:val="005A1604"/>
    <w:rPr>
      <w:color w:val="954F72" w:themeColor="followedHyperlink"/>
      <w:u w:val="single"/>
    </w:rPr>
  </w:style>
  <w:style w:type="paragraph" w:customStyle="1" w:styleId="Default">
    <w:name w:val="Default"/>
    <w:rsid w:val="00286D36"/>
    <w:pPr>
      <w:autoSpaceDE w:val="0"/>
      <w:autoSpaceDN w:val="0"/>
      <w:adjustRightInd w:val="0"/>
      <w:spacing w:after="0" w:line="240" w:lineRule="auto"/>
    </w:pPr>
    <w:rPr>
      <w:rFonts w:ascii="Calibri" w:hAnsi="Calibri" w:cs="Calibri"/>
      <w:color w:val="000000"/>
      <w:sz w:val="24"/>
      <w:szCs w:val="24"/>
    </w:rPr>
  </w:style>
  <w:style w:type="character" w:customStyle="1" w:styleId="oj-italic">
    <w:name w:val="oj-italic"/>
    <w:basedOn w:val="a0"/>
    <w:rsid w:val="00051435"/>
  </w:style>
  <w:style w:type="paragraph" w:customStyle="1" w:styleId="norm">
    <w:name w:val="norm"/>
    <w:basedOn w:val="a"/>
    <w:rsid w:val="000514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parag">
    <w:name w:val="no-parag"/>
    <w:basedOn w:val="a0"/>
    <w:rsid w:val="00051435"/>
  </w:style>
  <w:style w:type="paragraph" w:customStyle="1" w:styleId="msonormal0">
    <w:name w:val="msonormal"/>
    <w:basedOn w:val="a"/>
    <w:rsid w:val="000514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6">
    <w:name w:val="xl26"/>
    <w:basedOn w:val="a"/>
    <w:rsid w:val="00051435"/>
    <w:pPr>
      <w:spacing w:before="100" w:beforeAutospacing="1" w:after="100" w:afterAutospacing="1" w:line="240" w:lineRule="auto"/>
    </w:pPr>
    <w:rPr>
      <w:rFonts w:ascii="Arial" w:eastAsia="Times New Roman" w:hAnsi="Arial" w:cs="Arial"/>
      <w:sz w:val="20"/>
      <w:szCs w:val="20"/>
    </w:rPr>
  </w:style>
  <w:style w:type="paragraph" w:styleId="-HTML">
    <w:name w:val="HTML Preformatted"/>
    <w:basedOn w:val="a"/>
    <w:link w:val="-HTMLChar"/>
    <w:uiPriority w:val="99"/>
    <w:semiHidden/>
    <w:unhideWhenUsed/>
    <w:rsid w:val="009E65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pPr>
    <w:rPr>
      <w:rFonts w:ascii="Courier New" w:eastAsia="Times New Roman" w:hAnsi="Courier New" w:cs="Courier New"/>
      <w:sz w:val="20"/>
      <w:szCs w:val="20"/>
    </w:rPr>
  </w:style>
  <w:style w:type="character" w:customStyle="1" w:styleId="-HTMLChar">
    <w:name w:val="Προ-διαμορφωμένο HTML Char"/>
    <w:basedOn w:val="a0"/>
    <w:link w:val="-HTML"/>
    <w:uiPriority w:val="99"/>
    <w:semiHidden/>
    <w:rsid w:val="009E65E1"/>
    <w:rPr>
      <w:rFonts w:ascii="Courier New" w:eastAsia="Times New Roman" w:hAnsi="Courier New" w:cs="Courier New"/>
      <w:sz w:val="20"/>
      <w:szCs w:val="20"/>
    </w:rPr>
  </w:style>
  <w:style w:type="character" w:styleId="af0">
    <w:name w:val="Placeholder Text"/>
    <w:basedOn w:val="a0"/>
    <w:uiPriority w:val="99"/>
    <w:semiHidden/>
    <w:rsid w:val="003B1E6A"/>
    <w:rPr>
      <w:color w:val="808080"/>
    </w:rPr>
  </w:style>
  <w:style w:type="paragraph" w:styleId="af1">
    <w:name w:val="No Spacing"/>
    <w:uiPriority w:val="1"/>
    <w:qFormat/>
    <w:rsid w:val="00A7077C"/>
    <w:pPr>
      <w:spacing w:after="0" w:line="240" w:lineRule="auto"/>
    </w:pPr>
  </w:style>
  <w:style w:type="paragraph" w:styleId="af2">
    <w:name w:val="Revision"/>
    <w:hidden/>
    <w:uiPriority w:val="99"/>
    <w:semiHidden/>
    <w:rsid w:val="00594CBC"/>
    <w:pPr>
      <w:spacing w:after="0" w:line="240" w:lineRule="auto"/>
    </w:pPr>
  </w:style>
  <w:style w:type="paragraph" w:styleId="40">
    <w:name w:val="toc 4"/>
    <w:basedOn w:val="a"/>
    <w:next w:val="a"/>
    <w:autoRedefine/>
    <w:uiPriority w:val="39"/>
    <w:unhideWhenUsed/>
    <w:rsid w:val="00F45761"/>
    <w:pPr>
      <w:spacing w:before="0" w:after="100" w:line="259" w:lineRule="auto"/>
      <w:ind w:left="660"/>
    </w:pPr>
    <w:rPr>
      <w:rFonts w:eastAsiaTheme="minorEastAsia"/>
    </w:rPr>
  </w:style>
  <w:style w:type="paragraph" w:styleId="50">
    <w:name w:val="toc 5"/>
    <w:basedOn w:val="a"/>
    <w:next w:val="a"/>
    <w:autoRedefine/>
    <w:uiPriority w:val="39"/>
    <w:unhideWhenUsed/>
    <w:rsid w:val="00F45761"/>
    <w:pPr>
      <w:spacing w:before="0" w:after="100" w:line="259" w:lineRule="auto"/>
      <w:ind w:left="880"/>
    </w:pPr>
    <w:rPr>
      <w:rFonts w:eastAsiaTheme="minorEastAsia"/>
    </w:rPr>
  </w:style>
  <w:style w:type="paragraph" w:styleId="60">
    <w:name w:val="toc 6"/>
    <w:basedOn w:val="a"/>
    <w:next w:val="a"/>
    <w:autoRedefine/>
    <w:uiPriority w:val="39"/>
    <w:unhideWhenUsed/>
    <w:rsid w:val="00F45761"/>
    <w:pPr>
      <w:spacing w:before="0" w:after="100" w:line="259" w:lineRule="auto"/>
      <w:ind w:left="1100"/>
    </w:pPr>
    <w:rPr>
      <w:rFonts w:eastAsiaTheme="minorEastAsia"/>
    </w:rPr>
  </w:style>
  <w:style w:type="paragraph" w:styleId="70">
    <w:name w:val="toc 7"/>
    <w:basedOn w:val="a"/>
    <w:next w:val="a"/>
    <w:autoRedefine/>
    <w:uiPriority w:val="39"/>
    <w:unhideWhenUsed/>
    <w:rsid w:val="00F45761"/>
    <w:pPr>
      <w:spacing w:before="0" w:after="100" w:line="259" w:lineRule="auto"/>
      <w:ind w:left="1320"/>
    </w:pPr>
    <w:rPr>
      <w:rFonts w:eastAsiaTheme="minorEastAsia"/>
    </w:rPr>
  </w:style>
  <w:style w:type="paragraph" w:styleId="80">
    <w:name w:val="toc 8"/>
    <w:basedOn w:val="a"/>
    <w:next w:val="a"/>
    <w:autoRedefine/>
    <w:uiPriority w:val="39"/>
    <w:unhideWhenUsed/>
    <w:rsid w:val="00F45761"/>
    <w:pPr>
      <w:spacing w:before="0" w:after="100" w:line="259" w:lineRule="auto"/>
      <w:ind w:left="1540"/>
    </w:pPr>
    <w:rPr>
      <w:rFonts w:eastAsiaTheme="minorEastAsia"/>
    </w:rPr>
  </w:style>
  <w:style w:type="paragraph" w:styleId="90">
    <w:name w:val="toc 9"/>
    <w:basedOn w:val="a"/>
    <w:next w:val="a"/>
    <w:autoRedefine/>
    <w:uiPriority w:val="39"/>
    <w:unhideWhenUsed/>
    <w:rsid w:val="00F45761"/>
    <w:pPr>
      <w:spacing w:before="0" w:after="100" w:line="259" w:lineRule="auto"/>
      <w:ind w:left="1760"/>
    </w:pPr>
    <w:rPr>
      <w:rFonts w:eastAsiaTheme="minorEastAsia"/>
    </w:rPr>
  </w:style>
  <w:style w:type="table" w:customStyle="1" w:styleId="TableGrid11">
    <w:name w:val="Table Grid11"/>
    <w:basedOn w:val="a1"/>
    <w:next w:val="a7"/>
    <w:uiPriority w:val="39"/>
    <w:rsid w:val="00806DD7"/>
    <w:pPr>
      <w:spacing w:after="0" w:line="240" w:lineRule="auto"/>
    </w:pPr>
    <w:rPr>
      <w:rFonts w:ascii="Calibri" w:hAnsi="Calibri" w:cs="Times New Roman"/>
      <w:sz w:val="1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style>
  <w:style w:type="table" w:customStyle="1" w:styleId="TableGrid12">
    <w:name w:val="Table Grid12"/>
    <w:basedOn w:val="a1"/>
    <w:next w:val="a7"/>
    <w:uiPriority w:val="39"/>
    <w:rsid w:val="00806DD7"/>
    <w:pPr>
      <w:spacing w:after="0" w:line="240" w:lineRule="auto"/>
    </w:pPr>
    <w:rPr>
      <w:rFonts w:ascii="Calibri" w:hAnsi="Calibri" w:cs="Times New Roman"/>
      <w:sz w:val="1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style>
  <w:style w:type="table" w:customStyle="1" w:styleId="TableGrid13">
    <w:name w:val="Table Grid13"/>
    <w:basedOn w:val="a1"/>
    <w:next w:val="a7"/>
    <w:uiPriority w:val="39"/>
    <w:rsid w:val="00806DD7"/>
    <w:pPr>
      <w:spacing w:after="0" w:line="240" w:lineRule="auto"/>
    </w:pPr>
    <w:rPr>
      <w:rFonts w:ascii="Calibri" w:hAnsi="Calibri" w:cs="Times New Roman"/>
      <w:sz w:val="1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style>
  <w:style w:type="table" w:customStyle="1" w:styleId="TableGrid14">
    <w:name w:val="Table Grid14"/>
    <w:basedOn w:val="a1"/>
    <w:next w:val="a7"/>
    <w:uiPriority w:val="39"/>
    <w:rsid w:val="00806DD7"/>
    <w:pPr>
      <w:spacing w:after="0" w:line="240" w:lineRule="auto"/>
    </w:pPr>
    <w:rPr>
      <w:rFonts w:ascii="Calibri" w:hAnsi="Calibri" w:cs="Times New Roman"/>
      <w:sz w:val="1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style>
  <w:style w:type="table" w:customStyle="1" w:styleId="TableGrid15">
    <w:name w:val="Table Grid15"/>
    <w:basedOn w:val="a1"/>
    <w:next w:val="a7"/>
    <w:uiPriority w:val="39"/>
    <w:rsid w:val="00806DD7"/>
    <w:pPr>
      <w:spacing w:after="0" w:line="240" w:lineRule="auto"/>
    </w:pPr>
    <w:rPr>
      <w:rFonts w:ascii="Calibri" w:hAnsi="Calibri" w:cs="Times New Roman"/>
      <w:sz w:val="1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style>
  <w:style w:type="table" w:customStyle="1" w:styleId="TableGrid16">
    <w:name w:val="Table Grid16"/>
    <w:basedOn w:val="a1"/>
    <w:next w:val="a7"/>
    <w:uiPriority w:val="39"/>
    <w:rsid w:val="00806DD7"/>
    <w:pPr>
      <w:spacing w:after="0" w:line="240" w:lineRule="auto"/>
    </w:pPr>
    <w:rPr>
      <w:rFonts w:ascii="Calibri" w:hAnsi="Calibri" w:cs="Times New Roman"/>
      <w:sz w:val="1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style>
  <w:style w:type="table" w:customStyle="1" w:styleId="TableGrid17">
    <w:name w:val="Table Grid17"/>
    <w:basedOn w:val="a1"/>
    <w:next w:val="a7"/>
    <w:uiPriority w:val="39"/>
    <w:rsid w:val="00806DD7"/>
    <w:pPr>
      <w:spacing w:after="0" w:line="240" w:lineRule="auto"/>
    </w:pPr>
    <w:rPr>
      <w:rFonts w:ascii="Calibri" w:hAnsi="Calibri" w:cs="Times New Roman"/>
      <w:sz w:val="1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style>
  <w:style w:type="table" w:customStyle="1" w:styleId="TableGrid18">
    <w:name w:val="Table Grid18"/>
    <w:basedOn w:val="a1"/>
    <w:next w:val="a7"/>
    <w:uiPriority w:val="39"/>
    <w:rsid w:val="00806DD7"/>
    <w:pPr>
      <w:spacing w:after="0" w:line="240" w:lineRule="auto"/>
    </w:pPr>
    <w:rPr>
      <w:rFonts w:ascii="Calibri" w:hAnsi="Calibri" w:cs="Times New Roman"/>
      <w:sz w:val="1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style>
  <w:style w:type="table" w:customStyle="1" w:styleId="TableGrid19">
    <w:name w:val="Table Grid19"/>
    <w:basedOn w:val="a1"/>
    <w:next w:val="a7"/>
    <w:uiPriority w:val="39"/>
    <w:rsid w:val="00806DD7"/>
    <w:pPr>
      <w:spacing w:after="0" w:line="240" w:lineRule="auto"/>
    </w:pPr>
    <w:rPr>
      <w:rFonts w:ascii="Calibri" w:hAnsi="Calibri" w:cs="Times New Roman"/>
      <w:sz w:val="1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style>
  <w:style w:type="table" w:customStyle="1" w:styleId="TableGrid110">
    <w:name w:val="Table Grid110"/>
    <w:basedOn w:val="a1"/>
    <w:next w:val="a7"/>
    <w:uiPriority w:val="39"/>
    <w:rsid w:val="00806DD7"/>
    <w:pPr>
      <w:spacing w:after="0" w:line="240" w:lineRule="auto"/>
    </w:pPr>
    <w:rPr>
      <w:rFonts w:ascii="Calibri" w:hAnsi="Calibri" w:cs="Times New Roman"/>
      <w:sz w:val="1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style>
  <w:style w:type="table" w:customStyle="1" w:styleId="TableGrid111">
    <w:name w:val="Table Grid111"/>
    <w:basedOn w:val="a1"/>
    <w:next w:val="a7"/>
    <w:uiPriority w:val="39"/>
    <w:rsid w:val="000F4971"/>
    <w:pPr>
      <w:spacing w:after="0" w:line="240" w:lineRule="auto"/>
    </w:pPr>
    <w:rPr>
      <w:rFonts w:ascii="Calibri" w:hAnsi="Calibri" w:cs="Times New Roman"/>
      <w:sz w:val="1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style>
  <w:style w:type="table" w:customStyle="1" w:styleId="TableGrid112">
    <w:name w:val="Table Grid112"/>
    <w:basedOn w:val="a1"/>
    <w:next w:val="a7"/>
    <w:uiPriority w:val="39"/>
    <w:rsid w:val="000F4971"/>
    <w:pPr>
      <w:spacing w:after="0" w:line="240" w:lineRule="auto"/>
    </w:pPr>
    <w:rPr>
      <w:rFonts w:ascii="Calibri" w:hAnsi="Calibri" w:cs="Times New Roman"/>
      <w:sz w:val="1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style>
  <w:style w:type="table" w:customStyle="1" w:styleId="TableGrid113">
    <w:name w:val="Table Grid113"/>
    <w:basedOn w:val="a1"/>
    <w:next w:val="a7"/>
    <w:uiPriority w:val="39"/>
    <w:rsid w:val="000F4971"/>
    <w:pPr>
      <w:spacing w:after="0" w:line="240" w:lineRule="auto"/>
    </w:pPr>
    <w:rPr>
      <w:rFonts w:ascii="Calibri" w:hAnsi="Calibri" w:cs="Times New Roman"/>
      <w:sz w:val="1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style>
  <w:style w:type="table" w:customStyle="1" w:styleId="TableGrid114">
    <w:name w:val="Table Grid114"/>
    <w:basedOn w:val="a1"/>
    <w:next w:val="a7"/>
    <w:uiPriority w:val="39"/>
    <w:rsid w:val="000F4971"/>
    <w:pPr>
      <w:spacing w:after="0" w:line="240" w:lineRule="auto"/>
    </w:pPr>
    <w:rPr>
      <w:rFonts w:ascii="Calibri" w:hAnsi="Calibri" w:cs="Times New Roman"/>
      <w:sz w:val="1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style>
  <w:style w:type="table" w:customStyle="1" w:styleId="TableGrid115">
    <w:name w:val="Table Grid115"/>
    <w:basedOn w:val="a1"/>
    <w:next w:val="a7"/>
    <w:uiPriority w:val="39"/>
    <w:rsid w:val="000F4971"/>
    <w:pPr>
      <w:spacing w:after="0" w:line="240" w:lineRule="auto"/>
    </w:pPr>
    <w:rPr>
      <w:rFonts w:ascii="Calibri" w:hAnsi="Calibri" w:cs="Times New Roman"/>
      <w:sz w:val="1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style>
  <w:style w:type="table" w:customStyle="1" w:styleId="TableGrid116">
    <w:name w:val="Table Grid116"/>
    <w:basedOn w:val="a1"/>
    <w:next w:val="a7"/>
    <w:uiPriority w:val="39"/>
    <w:rsid w:val="000F4971"/>
    <w:pPr>
      <w:spacing w:after="0" w:line="240" w:lineRule="auto"/>
    </w:pPr>
    <w:rPr>
      <w:rFonts w:ascii="Calibri" w:hAnsi="Calibri" w:cs="Times New Roman"/>
      <w:sz w:val="1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style>
  <w:style w:type="table" w:customStyle="1" w:styleId="TableGrid117">
    <w:name w:val="Table Grid117"/>
    <w:basedOn w:val="a1"/>
    <w:next w:val="a7"/>
    <w:uiPriority w:val="39"/>
    <w:rsid w:val="000F4971"/>
    <w:pPr>
      <w:spacing w:after="0" w:line="240" w:lineRule="auto"/>
    </w:pPr>
    <w:rPr>
      <w:rFonts w:ascii="Calibri" w:hAnsi="Calibri" w:cs="Times New Roman"/>
      <w:sz w:val="1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style>
  <w:style w:type="table" w:customStyle="1" w:styleId="TableGrid118">
    <w:name w:val="Table Grid118"/>
    <w:basedOn w:val="a1"/>
    <w:next w:val="a7"/>
    <w:uiPriority w:val="39"/>
    <w:rsid w:val="000F4971"/>
    <w:pPr>
      <w:spacing w:after="0" w:line="240" w:lineRule="auto"/>
    </w:pPr>
    <w:rPr>
      <w:rFonts w:ascii="Calibri" w:hAnsi="Calibri" w:cs="Times New Roman"/>
      <w:sz w:val="1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style>
  <w:style w:type="table" w:customStyle="1" w:styleId="TableGrid119">
    <w:name w:val="Table Grid119"/>
    <w:basedOn w:val="a1"/>
    <w:next w:val="a7"/>
    <w:uiPriority w:val="39"/>
    <w:rsid w:val="000F4971"/>
    <w:pPr>
      <w:spacing w:after="0" w:line="240" w:lineRule="auto"/>
    </w:pPr>
    <w:rPr>
      <w:rFonts w:ascii="Calibri" w:hAnsi="Calibri" w:cs="Times New Roman"/>
      <w:sz w:val="1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style>
  <w:style w:type="table" w:customStyle="1" w:styleId="TableGrid120">
    <w:name w:val="Table Grid120"/>
    <w:basedOn w:val="a1"/>
    <w:next w:val="a7"/>
    <w:uiPriority w:val="39"/>
    <w:rsid w:val="000F4971"/>
    <w:pPr>
      <w:spacing w:after="0" w:line="240" w:lineRule="auto"/>
    </w:pPr>
    <w:rPr>
      <w:rFonts w:ascii="Calibri" w:hAnsi="Calibri" w:cs="Times New Roman"/>
      <w:sz w:val="1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style>
  <w:style w:type="table" w:customStyle="1" w:styleId="TableGrid121">
    <w:name w:val="Table Grid121"/>
    <w:basedOn w:val="a1"/>
    <w:next w:val="a7"/>
    <w:uiPriority w:val="39"/>
    <w:rsid w:val="000F4971"/>
    <w:pPr>
      <w:spacing w:after="0" w:line="240" w:lineRule="auto"/>
    </w:pPr>
    <w:rPr>
      <w:rFonts w:ascii="Calibri" w:hAnsi="Calibri" w:cs="Times New Roman"/>
      <w:sz w:val="1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style>
  <w:style w:type="table" w:customStyle="1" w:styleId="TableGrid122">
    <w:name w:val="Table Grid122"/>
    <w:basedOn w:val="a1"/>
    <w:next w:val="a7"/>
    <w:uiPriority w:val="39"/>
    <w:rsid w:val="000F4971"/>
    <w:pPr>
      <w:spacing w:after="0" w:line="240" w:lineRule="auto"/>
    </w:pPr>
    <w:rPr>
      <w:rFonts w:ascii="Calibri" w:hAnsi="Calibri" w:cs="Times New Roman"/>
      <w:sz w:val="1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style>
  <w:style w:type="table" w:customStyle="1" w:styleId="TableGrid123">
    <w:name w:val="Table Grid123"/>
    <w:basedOn w:val="a1"/>
    <w:next w:val="a7"/>
    <w:uiPriority w:val="39"/>
    <w:rsid w:val="000F4971"/>
    <w:pPr>
      <w:spacing w:after="0" w:line="240" w:lineRule="auto"/>
    </w:pPr>
    <w:rPr>
      <w:rFonts w:ascii="Calibri" w:hAnsi="Calibri" w:cs="Times New Roman"/>
      <w:sz w:val="1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style>
  <w:style w:type="table" w:customStyle="1" w:styleId="TableGrid124">
    <w:name w:val="Table Grid124"/>
    <w:basedOn w:val="a1"/>
    <w:next w:val="a7"/>
    <w:uiPriority w:val="39"/>
    <w:rsid w:val="000F4971"/>
    <w:pPr>
      <w:spacing w:after="0" w:line="240" w:lineRule="auto"/>
    </w:pPr>
    <w:rPr>
      <w:rFonts w:ascii="Calibri" w:hAnsi="Calibri" w:cs="Times New Roman"/>
      <w:sz w:val="1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style>
  <w:style w:type="character" w:styleId="af3">
    <w:name w:val="Strong"/>
    <w:basedOn w:val="a0"/>
    <w:uiPriority w:val="22"/>
    <w:qFormat/>
    <w:rsid w:val="00AB0B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6120">
      <w:bodyDiv w:val="1"/>
      <w:marLeft w:val="0"/>
      <w:marRight w:val="0"/>
      <w:marTop w:val="0"/>
      <w:marBottom w:val="0"/>
      <w:divBdr>
        <w:top w:val="none" w:sz="0" w:space="0" w:color="auto"/>
        <w:left w:val="none" w:sz="0" w:space="0" w:color="auto"/>
        <w:bottom w:val="none" w:sz="0" w:space="0" w:color="auto"/>
        <w:right w:val="none" w:sz="0" w:space="0" w:color="auto"/>
      </w:divBdr>
    </w:div>
    <w:div w:id="20400596">
      <w:bodyDiv w:val="1"/>
      <w:marLeft w:val="0"/>
      <w:marRight w:val="0"/>
      <w:marTop w:val="0"/>
      <w:marBottom w:val="0"/>
      <w:divBdr>
        <w:top w:val="none" w:sz="0" w:space="0" w:color="auto"/>
        <w:left w:val="none" w:sz="0" w:space="0" w:color="auto"/>
        <w:bottom w:val="none" w:sz="0" w:space="0" w:color="auto"/>
        <w:right w:val="none" w:sz="0" w:space="0" w:color="auto"/>
      </w:divBdr>
    </w:div>
    <w:div w:id="78478703">
      <w:bodyDiv w:val="1"/>
      <w:marLeft w:val="0"/>
      <w:marRight w:val="0"/>
      <w:marTop w:val="0"/>
      <w:marBottom w:val="0"/>
      <w:divBdr>
        <w:top w:val="none" w:sz="0" w:space="0" w:color="auto"/>
        <w:left w:val="none" w:sz="0" w:space="0" w:color="auto"/>
        <w:bottom w:val="none" w:sz="0" w:space="0" w:color="auto"/>
        <w:right w:val="none" w:sz="0" w:space="0" w:color="auto"/>
      </w:divBdr>
    </w:div>
    <w:div w:id="100564572">
      <w:bodyDiv w:val="1"/>
      <w:marLeft w:val="0"/>
      <w:marRight w:val="0"/>
      <w:marTop w:val="0"/>
      <w:marBottom w:val="0"/>
      <w:divBdr>
        <w:top w:val="none" w:sz="0" w:space="0" w:color="auto"/>
        <w:left w:val="none" w:sz="0" w:space="0" w:color="auto"/>
        <w:bottom w:val="none" w:sz="0" w:space="0" w:color="auto"/>
        <w:right w:val="none" w:sz="0" w:space="0" w:color="auto"/>
      </w:divBdr>
    </w:div>
    <w:div w:id="101460624">
      <w:bodyDiv w:val="1"/>
      <w:marLeft w:val="0"/>
      <w:marRight w:val="0"/>
      <w:marTop w:val="0"/>
      <w:marBottom w:val="0"/>
      <w:divBdr>
        <w:top w:val="none" w:sz="0" w:space="0" w:color="auto"/>
        <w:left w:val="none" w:sz="0" w:space="0" w:color="auto"/>
        <w:bottom w:val="none" w:sz="0" w:space="0" w:color="auto"/>
        <w:right w:val="none" w:sz="0" w:space="0" w:color="auto"/>
      </w:divBdr>
    </w:div>
    <w:div w:id="115374808">
      <w:bodyDiv w:val="1"/>
      <w:marLeft w:val="0"/>
      <w:marRight w:val="0"/>
      <w:marTop w:val="0"/>
      <w:marBottom w:val="0"/>
      <w:divBdr>
        <w:top w:val="none" w:sz="0" w:space="0" w:color="auto"/>
        <w:left w:val="none" w:sz="0" w:space="0" w:color="auto"/>
        <w:bottom w:val="none" w:sz="0" w:space="0" w:color="auto"/>
        <w:right w:val="none" w:sz="0" w:space="0" w:color="auto"/>
      </w:divBdr>
    </w:div>
    <w:div w:id="123350932">
      <w:bodyDiv w:val="1"/>
      <w:marLeft w:val="0"/>
      <w:marRight w:val="0"/>
      <w:marTop w:val="0"/>
      <w:marBottom w:val="0"/>
      <w:divBdr>
        <w:top w:val="none" w:sz="0" w:space="0" w:color="auto"/>
        <w:left w:val="none" w:sz="0" w:space="0" w:color="auto"/>
        <w:bottom w:val="none" w:sz="0" w:space="0" w:color="auto"/>
        <w:right w:val="none" w:sz="0" w:space="0" w:color="auto"/>
      </w:divBdr>
    </w:div>
    <w:div w:id="126822219">
      <w:bodyDiv w:val="1"/>
      <w:marLeft w:val="0"/>
      <w:marRight w:val="0"/>
      <w:marTop w:val="0"/>
      <w:marBottom w:val="0"/>
      <w:divBdr>
        <w:top w:val="none" w:sz="0" w:space="0" w:color="auto"/>
        <w:left w:val="none" w:sz="0" w:space="0" w:color="auto"/>
        <w:bottom w:val="none" w:sz="0" w:space="0" w:color="auto"/>
        <w:right w:val="none" w:sz="0" w:space="0" w:color="auto"/>
      </w:divBdr>
    </w:div>
    <w:div w:id="168298953">
      <w:bodyDiv w:val="1"/>
      <w:marLeft w:val="0"/>
      <w:marRight w:val="0"/>
      <w:marTop w:val="0"/>
      <w:marBottom w:val="0"/>
      <w:divBdr>
        <w:top w:val="none" w:sz="0" w:space="0" w:color="auto"/>
        <w:left w:val="none" w:sz="0" w:space="0" w:color="auto"/>
        <w:bottom w:val="none" w:sz="0" w:space="0" w:color="auto"/>
        <w:right w:val="none" w:sz="0" w:space="0" w:color="auto"/>
      </w:divBdr>
    </w:div>
    <w:div w:id="190459272">
      <w:bodyDiv w:val="1"/>
      <w:marLeft w:val="0"/>
      <w:marRight w:val="0"/>
      <w:marTop w:val="0"/>
      <w:marBottom w:val="0"/>
      <w:divBdr>
        <w:top w:val="none" w:sz="0" w:space="0" w:color="auto"/>
        <w:left w:val="none" w:sz="0" w:space="0" w:color="auto"/>
        <w:bottom w:val="none" w:sz="0" w:space="0" w:color="auto"/>
        <w:right w:val="none" w:sz="0" w:space="0" w:color="auto"/>
      </w:divBdr>
    </w:div>
    <w:div w:id="197546722">
      <w:bodyDiv w:val="1"/>
      <w:marLeft w:val="0"/>
      <w:marRight w:val="0"/>
      <w:marTop w:val="0"/>
      <w:marBottom w:val="0"/>
      <w:divBdr>
        <w:top w:val="none" w:sz="0" w:space="0" w:color="auto"/>
        <w:left w:val="none" w:sz="0" w:space="0" w:color="auto"/>
        <w:bottom w:val="none" w:sz="0" w:space="0" w:color="auto"/>
        <w:right w:val="none" w:sz="0" w:space="0" w:color="auto"/>
      </w:divBdr>
    </w:div>
    <w:div w:id="224488214">
      <w:bodyDiv w:val="1"/>
      <w:marLeft w:val="0"/>
      <w:marRight w:val="0"/>
      <w:marTop w:val="0"/>
      <w:marBottom w:val="0"/>
      <w:divBdr>
        <w:top w:val="none" w:sz="0" w:space="0" w:color="auto"/>
        <w:left w:val="none" w:sz="0" w:space="0" w:color="auto"/>
        <w:bottom w:val="none" w:sz="0" w:space="0" w:color="auto"/>
        <w:right w:val="none" w:sz="0" w:space="0" w:color="auto"/>
      </w:divBdr>
    </w:div>
    <w:div w:id="276789487">
      <w:bodyDiv w:val="1"/>
      <w:marLeft w:val="0"/>
      <w:marRight w:val="0"/>
      <w:marTop w:val="0"/>
      <w:marBottom w:val="0"/>
      <w:divBdr>
        <w:top w:val="none" w:sz="0" w:space="0" w:color="auto"/>
        <w:left w:val="none" w:sz="0" w:space="0" w:color="auto"/>
        <w:bottom w:val="none" w:sz="0" w:space="0" w:color="auto"/>
        <w:right w:val="none" w:sz="0" w:space="0" w:color="auto"/>
      </w:divBdr>
    </w:div>
    <w:div w:id="296616504">
      <w:bodyDiv w:val="1"/>
      <w:marLeft w:val="0"/>
      <w:marRight w:val="0"/>
      <w:marTop w:val="0"/>
      <w:marBottom w:val="0"/>
      <w:divBdr>
        <w:top w:val="none" w:sz="0" w:space="0" w:color="auto"/>
        <w:left w:val="none" w:sz="0" w:space="0" w:color="auto"/>
        <w:bottom w:val="none" w:sz="0" w:space="0" w:color="auto"/>
        <w:right w:val="none" w:sz="0" w:space="0" w:color="auto"/>
      </w:divBdr>
    </w:div>
    <w:div w:id="329451767">
      <w:bodyDiv w:val="1"/>
      <w:marLeft w:val="0"/>
      <w:marRight w:val="0"/>
      <w:marTop w:val="0"/>
      <w:marBottom w:val="0"/>
      <w:divBdr>
        <w:top w:val="none" w:sz="0" w:space="0" w:color="auto"/>
        <w:left w:val="none" w:sz="0" w:space="0" w:color="auto"/>
        <w:bottom w:val="none" w:sz="0" w:space="0" w:color="auto"/>
        <w:right w:val="none" w:sz="0" w:space="0" w:color="auto"/>
      </w:divBdr>
    </w:div>
    <w:div w:id="362554935">
      <w:bodyDiv w:val="1"/>
      <w:marLeft w:val="0"/>
      <w:marRight w:val="0"/>
      <w:marTop w:val="0"/>
      <w:marBottom w:val="0"/>
      <w:divBdr>
        <w:top w:val="none" w:sz="0" w:space="0" w:color="auto"/>
        <w:left w:val="none" w:sz="0" w:space="0" w:color="auto"/>
        <w:bottom w:val="none" w:sz="0" w:space="0" w:color="auto"/>
        <w:right w:val="none" w:sz="0" w:space="0" w:color="auto"/>
      </w:divBdr>
    </w:div>
    <w:div w:id="394813501">
      <w:bodyDiv w:val="1"/>
      <w:marLeft w:val="0"/>
      <w:marRight w:val="0"/>
      <w:marTop w:val="0"/>
      <w:marBottom w:val="0"/>
      <w:divBdr>
        <w:top w:val="none" w:sz="0" w:space="0" w:color="auto"/>
        <w:left w:val="none" w:sz="0" w:space="0" w:color="auto"/>
        <w:bottom w:val="none" w:sz="0" w:space="0" w:color="auto"/>
        <w:right w:val="none" w:sz="0" w:space="0" w:color="auto"/>
      </w:divBdr>
    </w:div>
    <w:div w:id="420954173">
      <w:bodyDiv w:val="1"/>
      <w:marLeft w:val="0"/>
      <w:marRight w:val="0"/>
      <w:marTop w:val="0"/>
      <w:marBottom w:val="0"/>
      <w:divBdr>
        <w:top w:val="none" w:sz="0" w:space="0" w:color="auto"/>
        <w:left w:val="none" w:sz="0" w:space="0" w:color="auto"/>
        <w:bottom w:val="none" w:sz="0" w:space="0" w:color="auto"/>
        <w:right w:val="none" w:sz="0" w:space="0" w:color="auto"/>
      </w:divBdr>
    </w:div>
    <w:div w:id="421413141">
      <w:bodyDiv w:val="1"/>
      <w:marLeft w:val="0"/>
      <w:marRight w:val="0"/>
      <w:marTop w:val="0"/>
      <w:marBottom w:val="0"/>
      <w:divBdr>
        <w:top w:val="none" w:sz="0" w:space="0" w:color="auto"/>
        <w:left w:val="none" w:sz="0" w:space="0" w:color="auto"/>
        <w:bottom w:val="none" w:sz="0" w:space="0" w:color="auto"/>
        <w:right w:val="none" w:sz="0" w:space="0" w:color="auto"/>
      </w:divBdr>
    </w:div>
    <w:div w:id="422457395">
      <w:bodyDiv w:val="1"/>
      <w:marLeft w:val="0"/>
      <w:marRight w:val="0"/>
      <w:marTop w:val="0"/>
      <w:marBottom w:val="0"/>
      <w:divBdr>
        <w:top w:val="none" w:sz="0" w:space="0" w:color="auto"/>
        <w:left w:val="none" w:sz="0" w:space="0" w:color="auto"/>
        <w:bottom w:val="none" w:sz="0" w:space="0" w:color="auto"/>
        <w:right w:val="none" w:sz="0" w:space="0" w:color="auto"/>
      </w:divBdr>
    </w:div>
    <w:div w:id="439952225">
      <w:bodyDiv w:val="1"/>
      <w:marLeft w:val="0"/>
      <w:marRight w:val="0"/>
      <w:marTop w:val="0"/>
      <w:marBottom w:val="0"/>
      <w:divBdr>
        <w:top w:val="none" w:sz="0" w:space="0" w:color="auto"/>
        <w:left w:val="none" w:sz="0" w:space="0" w:color="auto"/>
        <w:bottom w:val="none" w:sz="0" w:space="0" w:color="auto"/>
        <w:right w:val="none" w:sz="0" w:space="0" w:color="auto"/>
      </w:divBdr>
    </w:div>
    <w:div w:id="482891988">
      <w:bodyDiv w:val="1"/>
      <w:marLeft w:val="0"/>
      <w:marRight w:val="0"/>
      <w:marTop w:val="0"/>
      <w:marBottom w:val="0"/>
      <w:divBdr>
        <w:top w:val="none" w:sz="0" w:space="0" w:color="auto"/>
        <w:left w:val="none" w:sz="0" w:space="0" w:color="auto"/>
        <w:bottom w:val="none" w:sz="0" w:space="0" w:color="auto"/>
        <w:right w:val="none" w:sz="0" w:space="0" w:color="auto"/>
      </w:divBdr>
    </w:div>
    <w:div w:id="508643906">
      <w:bodyDiv w:val="1"/>
      <w:marLeft w:val="0"/>
      <w:marRight w:val="0"/>
      <w:marTop w:val="0"/>
      <w:marBottom w:val="0"/>
      <w:divBdr>
        <w:top w:val="none" w:sz="0" w:space="0" w:color="auto"/>
        <w:left w:val="none" w:sz="0" w:space="0" w:color="auto"/>
        <w:bottom w:val="none" w:sz="0" w:space="0" w:color="auto"/>
        <w:right w:val="none" w:sz="0" w:space="0" w:color="auto"/>
      </w:divBdr>
      <w:divsChild>
        <w:div w:id="1057509032">
          <w:marLeft w:val="0"/>
          <w:marRight w:val="0"/>
          <w:marTop w:val="0"/>
          <w:marBottom w:val="0"/>
          <w:divBdr>
            <w:top w:val="none" w:sz="0" w:space="0" w:color="auto"/>
            <w:left w:val="none" w:sz="0" w:space="0" w:color="auto"/>
            <w:bottom w:val="none" w:sz="0" w:space="0" w:color="auto"/>
            <w:right w:val="none" w:sz="0" w:space="0" w:color="auto"/>
          </w:divBdr>
        </w:div>
      </w:divsChild>
    </w:div>
    <w:div w:id="513299643">
      <w:bodyDiv w:val="1"/>
      <w:marLeft w:val="0"/>
      <w:marRight w:val="0"/>
      <w:marTop w:val="0"/>
      <w:marBottom w:val="0"/>
      <w:divBdr>
        <w:top w:val="none" w:sz="0" w:space="0" w:color="auto"/>
        <w:left w:val="none" w:sz="0" w:space="0" w:color="auto"/>
        <w:bottom w:val="none" w:sz="0" w:space="0" w:color="auto"/>
        <w:right w:val="none" w:sz="0" w:space="0" w:color="auto"/>
      </w:divBdr>
    </w:div>
    <w:div w:id="514926591">
      <w:bodyDiv w:val="1"/>
      <w:marLeft w:val="0"/>
      <w:marRight w:val="0"/>
      <w:marTop w:val="0"/>
      <w:marBottom w:val="0"/>
      <w:divBdr>
        <w:top w:val="none" w:sz="0" w:space="0" w:color="auto"/>
        <w:left w:val="none" w:sz="0" w:space="0" w:color="auto"/>
        <w:bottom w:val="none" w:sz="0" w:space="0" w:color="auto"/>
        <w:right w:val="none" w:sz="0" w:space="0" w:color="auto"/>
      </w:divBdr>
    </w:div>
    <w:div w:id="515844551">
      <w:bodyDiv w:val="1"/>
      <w:marLeft w:val="0"/>
      <w:marRight w:val="0"/>
      <w:marTop w:val="0"/>
      <w:marBottom w:val="0"/>
      <w:divBdr>
        <w:top w:val="none" w:sz="0" w:space="0" w:color="auto"/>
        <w:left w:val="none" w:sz="0" w:space="0" w:color="auto"/>
        <w:bottom w:val="none" w:sz="0" w:space="0" w:color="auto"/>
        <w:right w:val="none" w:sz="0" w:space="0" w:color="auto"/>
      </w:divBdr>
    </w:div>
    <w:div w:id="554703098">
      <w:bodyDiv w:val="1"/>
      <w:marLeft w:val="0"/>
      <w:marRight w:val="0"/>
      <w:marTop w:val="0"/>
      <w:marBottom w:val="0"/>
      <w:divBdr>
        <w:top w:val="none" w:sz="0" w:space="0" w:color="auto"/>
        <w:left w:val="none" w:sz="0" w:space="0" w:color="auto"/>
        <w:bottom w:val="none" w:sz="0" w:space="0" w:color="auto"/>
        <w:right w:val="none" w:sz="0" w:space="0" w:color="auto"/>
      </w:divBdr>
    </w:div>
    <w:div w:id="579293170">
      <w:bodyDiv w:val="1"/>
      <w:marLeft w:val="0"/>
      <w:marRight w:val="0"/>
      <w:marTop w:val="0"/>
      <w:marBottom w:val="0"/>
      <w:divBdr>
        <w:top w:val="none" w:sz="0" w:space="0" w:color="auto"/>
        <w:left w:val="none" w:sz="0" w:space="0" w:color="auto"/>
        <w:bottom w:val="none" w:sz="0" w:space="0" w:color="auto"/>
        <w:right w:val="none" w:sz="0" w:space="0" w:color="auto"/>
      </w:divBdr>
    </w:div>
    <w:div w:id="634680164">
      <w:bodyDiv w:val="1"/>
      <w:marLeft w:val="0"/>
      <w:marRight w:val="0"/>
      <w:marTop w:val="0"/>
      <w:marBottom w:val="0"/>
      <w:divBdr>
        <w:top w:val="none" w:sz="0" w:space="0" w:color="auto"/>
        <w:left w:val="none" w:sz="0" w:space="0" w:color="auto"/>
        <w:bottom w:val="none" w:sz="0" w:space="0" w:color="auto"/>
        <w:right w:val="none" w:sz="0" w:space="0" w:color="auto"/>
      </w:divBdr>
    </w:div>
    <w:div w:id="649602145">
      <w:bodyDiv w:val="1"/>
      <w:marLeft w:val="0"/>
      <w:marRight w:val="0"/>
      <w:marTop w:val="0"/>
      <w:marBottom w:val="0"/>
      <w:divBdr>
        <w:top w:val="none" w:sz="0" w:space="0" w:color="auto"/>
        <w:left w:val="none" w:sz="0" w:space="0" w:color="auto"/>
        <w:bottom w:val="none" w:sz="0" w:space="0" w:color="auto"/>
        <w:right w:val="none" w:sz="0" w:space="0" w:color="auto"/>
      </w:divBdr>
    </w:div>
    <w:div w:id="671835060">
      <w:bodyDiv w:val="1"/>
      <w:marLeft w:val="0"/>
      <w:marRight w:val="0"/>
      <w:marTop w:val="0"/>
      <w:marBottom w:val="0"/>
      <w:divBdr>
        <w:top w:val="none" w:sz="0" w:space="0" w:color="auto"/>
        <w:left w:val="none" w:sz="0" w:space="0" w:color="auto"/>
        <w:bottom w:val="none" w:sz="0" w:space="0" w:color="auto"/>
        <w:right w:val="none" w:sz="0" w:space="0" w:color="auto"/>
      </w:divBdr>
    </w:div>
    <w:div w:id="673606077">
      <w:bodyDiv w:val="1"/>
      <w:marLeft w:val="0"/>
      <w:marRight w:val="0"/>
      <w:marTop w:val="0"/>
      <w:marBottom w:val="0"/>
      <w:divBdr>
        <w:top w:val="none" w:sz="0" w:space="0" w:color="auto"/>
        <w:left w:val="none" w:sz="0" w:space="0" w:color="auto"/>
        <w:bottom w:val="none" w:sz="0" w:space="0" w:color="auto"/>
        <w:right w:val="none" w:sz="0" w:space="0" w:color="auto"/>
      </w:divBdr>
    </w:div>
    <w:div w:id="689112671">
      <w:bodyDiv w:val="1"/>
      <w:marLeft w:val="0"/>
      <w:marRight w:val="0"/>
      <w:marTop w:val="0"/>
      <w:marBottom w:val="0"/>
      <w:divBdr>
        <w:top w:val="none" w:sz="0" w:space="0" w:color="auto"/>
        <w:left w:val="none" w:sz="0" w:space="0" w:color="auto"/>
        <w:bottom w:val="none" w:sz="0" w:space="0" w:color="auto"/>
        <w:right w:val="none" w:sz="0" w:space="0" w:color="auto"/>
      </w:divBdr>
    </w:div>
    <w:div w:id="695472172">
      <w:bodyDiv w:val="1"/>
      <w:marLeft w:val="0"/>
      <w:marRight w:val="0"/>
      <w:marTop w:val="0"/>
      <w:marBottom w:val="0"/>
      <w:divBdr>
        <w:top w:val="none" w:sz="0" w:space="0" w:color="auto"/>
        <w:left w:val="none" w:sz="0" w:space="0" w:color="auto"/>
        <w:bottom w:val="none" w:sz="0" w:space="0" w:color="auto"/>
        <w:right w:val="none" w:sz="0" w:space="0" w:color="auto"/>
      </w:divBdr>
    </w:div>
    <w:div w:id="696273624">
      <w:bodyDiv w:val="1"/>
      <w:marLeft w:val="0"/>
      <w:marRight w:val="0"/>
      <w:marTop w:val="0"/>
      <w:marBottom w:val="0"/>
      <w:divBdr>
        <w:top w:val="none" w:sz="0" w:space="0" w:color="auto"/>
        <w:left w:val="none" w:sz="0" w:space="0" w:color="auto"/>
        <w:bottom w:val="none" w:sz="0" w:space="0" w:color="auto"/>
        <w:right w:val="none" w:sz="0" w:space="0" w:color="auto"/>
      </w:divBdr>
    </w:div>
    <w:div w:id="706564237">
      <w:bodyDiv w:val="1"/>
      <w:marLeft w:val="0"/>
      <w:marRight w:val="0"/>
      <w:marTop w:val="0"/>
      <w:marBottom w:val="0"/>
      <w:divBdr>
        <w:top w:val="none" w:sz="0" w:space="0" w:color="auto"/>
        <w:left w:val="none" w:sz="0" w:space="0" w:color="auto"/>
        <w:bottom w:val="none" w:sz="0" w:space="0" w:color="auto"/>
        <w:right w:val="none" w:sz="0" w:space="0" w:color="auto"/>
      </w:divBdr>
    </w:div>
    <w:div w:id="726101201">
      <w:bodyDiv w:val="1"/>
      <w:marLeft w:val="0"/>
      <w:marRight w:val="0"/>
      <w:marTop w:val="0"/>
      <w:marBottom w:val="0"/>
      <w:divBdr>
        <w:top w:val="none" w:sz="0" w:space="0" w:color="auto"/>
        <w:left w:val="none" w:sz="0" w:space="0" w:color="auto"/>
        <w:bottom w:val="none" w:sz="0" w:space="0" w:color="auto"/>
        <w:right w:val="none" w:sz="0" w:space="0" w:color="auto"/>
      </w:divBdr>
    </w:div>
    <w:div w:id="739836488">
      <w:bodyDiv w:val="1"/>
      <w:marLeft w:val="0"/>
      <w:marRight w:val="0"/>
      <w:marTop w:val="0"/>
      <w:marBottom w:val="0"/>
      <w:divBdr>
        <w:top w:val="none" w:sz="0" w:space="0" w:color="auto"/>
        <w:left w:val="none" w:sz="0" w:space="0" w:color="auto"/>
        <w:bottom w:val="none" w:sz="0" w:space="0" w:color="auto"/>
        <w:right w:val="none" w:sz="0" w:space="0" w:color="auto"/>
      </w:divBdr>
    </w:div>
    <w:div w:id="752242747">
      <w:bodyDiv w:val="1"/>
      <w:marLeft w:val="0"/>
      <w:marRight w:val="0"/>
      <w:marTop w:val="0"/>
      <w:marBottom w:val="0"/>
      <w:divBdr>
        <w:top w:val="none" w:sz="0" w:space="0" w:color="auto"/>
        <w:left w:val="none" w:sz="0" w:space="0" w:color="auto"/>
        <w:bottom w:val="none" w:sz="0" w:space="0" w:color="auto"/>
        <w:right w:val="none" w:sz="0" w:space="0" w:color="auto"/>
      </w:divBdr>
    </w:div>
    <w:div w:id="759565628">
      <w:bodyDiv w:val="1"/>
      <w:marLeft w:val="0"/>
      <w:marRight w:val="0"/>
      <w:marTop w:val="0"/>
      <w:marBottom w:val="0"/>
      <w:divBdr>
        <w:top w:val="none" w:sz="0" w:space="0" w:color="auto"/>
        <w:left w:val="none" w:sz="0" w:space="0" w:color="auto"/>
        <w:bottom w:val="none" w:sz="0" w:space="0" w:color="auto"/>
        <w:right w:val="none" w:sz="0" w:space="0" w:color="auto"/>
      </w:divBdr>
    </w:div>
    <w:div w:id="766119097">
      <w:bodyDiv w:val="1"/>
      <w:marLeft w:val="0"/>
      <w:marRight w:val="0"/>
      <w:marTop w:val="0"/>
      <w:marBottom w:val="0"/>
      <w:divBdr>
        <w:top w:val="none" w:sz="0" w:space="0" w:color="auto"/>
        <w:left w:val="none" w:sz="0" w:space="0" w:color="auto"/>
        <w:bottom w:val="none" w:sz="0" w:space="0" w:color="auto"/>
        <w:right w:val="none" w:sz="0" w:space="0" w:color="auto"/>
      </w:divBdr>
      <w:divsChild>
        <w:div w:id="1772965518">
          <w:marLeft w:val="0"/>
          <w:marRight w:val="0"/>
          <w:marTop w:val="0"/>
          <w:marBottom w:val="0"/>
          <w:divBdr>
            <w:top w:val="none" w:sz="0" w:space="0" w:color="auto"/>
            <w:left w:val="none" w:sz="0" w:space="0" w:color="auto"/>
            <w:bottom w:val="none" w:sz="0" w:space="0" w:color="auto"/>
            <w:right w:val="none" w:sz="0" w:space="0" w:color="auto"/>
          </w:divBdr>
        </w:div>
      </w:divsChild>
    </w:div>
    <w:div w:id="857619207">
      <w:bodyDiv w:val="1"/>
      <w:marLeft w:val="0"/>
      <w:marRight w:val="0"/>
      <w:marTop w:val="0"/>
      <w:marBottom w:val="0"/>
      <w:divBdr>
        <w:top w:val="none" w:sz="0" w:space="0" w:color="auto"/>
        <w:left w:val="none" w:sz="0" w:space="0" w:color="auto"/>
        <w:bottom w:val="none" w:sz="0" w:space="0" w:color="auto"/>
        <w:right w:val="none" w:sz="0" w:space="0" w:color="auto"/>
      </w:divBdr>
    </w:div>
    <w:div w:id="871528302">
      <w:bodyDiv w:val="1"/>
      <w:marLeft w:val="0"/>
      <w:marRight w:val="0"/>
      <w:marTop w:val="0"/>
      <w:marBottom w:val="0"/>
      <w:divBdr>
        <w:top w:val="none" w:sz="0" w:space="0" w:color="auto"/>
        <w:left w:val="none" w:sz="0" w:space="0" w:color="auto"/>
        <w:bottom w:val="none" w:sz="0" w:space="0" w:color="auto"/>
        <w:right w:val="none" w:sz="0" w:space="0" w:color="auto"/>
      </w:divBdr>
    </w:div>
    <w:div w:id="872882860">
      <w:bodyDiv w:val="1"/>
      <w:marLeft w:val="0"/>
      <w:marRight w:val="0"/>
      <w:marTop w:val="0"/>
      <w:marBottom w:val="0"/>
      <w:divBdr>
        <w:top w:val="none" w:sz="0" w:space="0" w:color="auto"/>
        <w:left w:val="none" w:sz="0" w:space="0" w:color="auto"/>
        <w:bottom w:val="none" w:sz="0" w:space="0" w:color="auto"/>
        <w:right w:val="none" w:sz="0" w:space="0" w:color="auto"/>
      </w:divBdr>
    </w:div>
    <w:div w:id="874271475">
      <w:bodyDiv w:val="1"/>
      <w:marLeft w:val="0"/>
      <w:marRight w:val="0"/>
      <w:marTop w:val="0"/>
      <w:marBottom w:val="0"/>
      <w:divBdr>
        <w:top w:val="none" w:sz="0" w:space="0" w:color="auto"/>
        <w:left w:val="none" w:sz="0" w:space="0" w:color="auto"/>
        <w:bottom w:val="none" w:sz="0" w:space="0" w:color="auto"/>
        <w:right w:val="none" w:sz="0" w:space="0" w:color="auto"/>
      </w:divBdr>
    </w:div>
    <w:div w:id="877863627">
      <w:bodyDiv w:val="1"/>
      <w:marLeft w:val="0"/>
      <w:marRight w:val="0"/>
      <w:marTop w:val="0"/>
      <w:marBottom w:val="0"/>
      <w:divBdr>
        <w:top w:val="none" w:sz="0" w:space="0" w:color="auto"/>
        <w:left w:val="none" w:sz="0" w:space="0" w:color="auto"/>
        <w:bottom w:val="none" w:sz="0" w:space="0" w:color="auto"/>
        <w:right w:val="none" w:sz="0" w:space="0" w:color="auto"/>
      </w:divBdr>
    </w:div>
    <w:div w:id="890310466">
      <w:bodyDiv w:val="1"/>
      <w:marLeft w:val="0"/>
      <w:marRight w:val="0"/>
      <w:marTop w:val="0"/>
      <w:marBottom w:val="0"/>
      <w:divBdr>
        <w:top w:val="none" w:sz="0" w:space="0" w:color="auto"/>
        <w:left w:val="none" w:sz="0" w:space="0" w:color="auto"/>
        <w:bottom w:val="none" w:sz="0" w:space="0" w:color="auto"/>
        <w:right w:val="none" w:sz="0" w:space="0" w:color="auto"/>
      </w:divBdr>
    </w:div>
    <w:div w:id="897326187">
      <w:bodyDiv w:val="1"/>
      <w:marLeft w:val="0"/>
      <w:marRight w:val="0"/>
      <w:marTop w:val="0"/>
      <w:marBottom w:val="0"/>
      <w:divBdr>
        <w:top w:val="none" w:sz="0" w:space="0" w:color="auto"/>
        <w:left w:val="none" w:sz="0" w:space="0" w:color="auto"/>
        <w:bottom w:val="none" w:sz="0" w:space="0" w:color="auto"/>
        <w:right w:val="none" w:sz="0" w:space="0" w:color="auto"/>
      </w:divBdr>
    </w:div>
    <w:div w:id="935671203">
      <w:bodyDiv w:val="1"/>
      <w:marLeft w:val="0"/>
      <w:marRight w:val="0"/>
      <w:marTop w:val="0"/>
      <w:marBottom w:val="0"/>
      <w:divBdr>
        <w:top w:val="none" w:sz="0" w:space="0" w:color="auto"/>
        <w:left w:val="none" w:sz="0" w:space="0" w:color="auto"/>
        <w:bottom w:val="none" w:sz="0" w:space="0" w:color="auto"/>
        <w:right w:val="none" w:sz="0" w:space="0" w:color="auto"/>
      </w:divBdr>
    </w:div>
    <w:div w:id="947658831">
      <w:bodyDiv w:val="1"/>
      <w:marLeft w:val="0"/>
      <w:marRight w:val="0"/>
      <w:marTop w:val="0"/>
      <w:marBottom w:val="0"/>
      <w:divBdr>
        <w:top w:val="none" w:sz="0" w:space="0" w:color="auto"/>
        <w:left w:val="none" w:sz="0" w:space="0" w:color="auto"/>
        <w:bottom w:val="none" w:sz="0" w:space="0" w:color="auto"/>
        <w:right w:val="none" w:sz="0" w:space="0" w:color="auto"/>
      </w:divBdr>
      <w:divsChild>
        <w:div w:id="1023481312">
          <w:marLeft w:val="0"/>
          <w:marRight w:val="0"/>
          <w:marTop w:val="0"/>
          <w:marBottom w:val="0"/>
          <w:divBdr>
            <w:top w:val="none" w:sz="0" w:space="0" w:color="auto"/>
            <w:left w:val="none" w:sz="0" w:space="0" w:color="auto"/>
            <w:bottom w:val="none" w:sz="0" w:space="0" w:color="auto"/>
            <w:right w:val="none" w:sz="0" w:space="0" w:color="auto"/>
          </w:divBdr>
        </w:div>
      </w:divsChild>
    </w:div>
    <w:div w:id="963803958">
      <w:bodyDiv w:val="1"/>
      <w:marLeft w:val="0"/>
      <w:marRight w:val="0"/>
      <w:marTop w:val="0"/>
      <w:marBottom w:val="0"/>
      <w:divBdr>
        <w:top w:val="none" w:sz="0" w:space="0" w:color="auto"/>
        <w:left w:val="none" w:sz="0" w:space="0" w:color="auto"/>
        <w:bottom w:val="none" w:sz="0" w:space="0" w:color="auto"/>
        <w:right w:val="none" w:sz="0" w:space="0" w:color="auto"/>
      </w:divBdr>
    </w:div>
    <w:div w:id="964388511">
      <w:bodyDiv w:val="1"/>
      <w:marLeft w:val="0"/>
      <w:marRight w:val="0"/>
      <w:marTop w:val="0"/>
      <w:marBottom w:val="0"/>
      <w:divBdr>
        <w:top w:val="none" w:sz="0" w:space="0" w:color="auto"/>
        <w:left w:val="none" w:sz="0" w:space="0" w:color="auto"/>
        <w:bottom w:val="none" w:sz="0" w:space="0" w:color="auto"/>
        <w:right w:val="none" w:sz="0" w:space="0" w:color="auto"/>
      </w:divBdr>
    </w:div>
    <w:div w:id="981735414">
      <w:bodyDiv w:val="1"/>
      <w:marLeft w:val="0"/>
      <w:marRight w:val="0"/>
      <w:marTop w:val="0"/>
      <w:marBottom w:val="0"/>
      <w:divBdr>
        <w:top w:val="none" w:sz="0" w:space="0" w:color="auto"/>
        <w:left w:val="none" w:sz="0" w:space="0" w:color="auto"/>
        <w:bottom w:val="none" w:sz="0" w:space="0" w:color="auto"/>
        <w:right w:val="none" w:sz="0" w:space="0" w:color="auto"/>
      </w:divBdr>
    </w:div>
    <w:div w:id="982276162">
      <w:bodyDiv w:val="1"/>
      <w:marLeft w:val="0"/>
      <w:marRight w:val="0"/>
      <w:marTop w:val="0"/>
      <w:marBottom w:val="0"/>
      <w:divBdr>
        <w:top w:val="none" w:sz="0" w:space="0" w:color="auto"/>
        <w:left w:val="none" w:sz="0" w:space="0" w:color="auto"/>
        <w:bottom w:val="none" w:sz="0" w:space="0" w:color="auto"/>
        <w:right w:val="none" w:sz="0" w:space="0" w:color="auto"/>
      </w:divBdr>
      <w:divsChild>
        <w:div w:id="717893523">
          <w:marLeft w:val="0"/>
          <w:marRight w:val="0"/>
          <w:marTop w:val="0"/>
          <w:marBottom w:val="0"/>
          <w:divBdr>
            <w:top w:val="none" w:sz="0" w:space="0" w:color="auto"/>
            <w:left w:val="none" w:sz="0" w:space="0" w:color="auto"/>
            <w:bottom w:val="none" w:sz="0" w:space="0" w:color="auto"/>
            <w:right w:val="none" w:sz="0" w:space="0" w:color="auto"/>
          </w:divBdr>
        </w:div>
      </w:divsChild>
    </w:div>
    <w:div w:id="989287311">
      <w:bodyDiv w:val="1"/>
      <w:marLeft w:val="0"/>
      <w:marRight w:val="0"/>
      <w:marTop w:val="0"/>
      <w:marBottom w:val="0"/>
      <w:divBdr>
        <w:top w:val="none" w:sz="0" w:space="0" w:color="auto"/>
        <w:left w:val="none" w:sz="0" w:space="0" w:color="auto"/>
        <w:bottom w:val="none" w:sz="0" w:space="0" w:color="auto"/>
        <w:right w:val="none" w:sz="0" w:space="0" w:color="auto"/>
      </w:divBdr>
    </w:div>
    <w:div w:id="995258314">
      <w:bodyDiv w:val="1"/>
      <w:marLeft w:val="0"/>
      <w:marRight w:val="0"/>
      <w:marTop w:val="0"/>
      <w:marBottom w:val="0"/>
      <w:divBdr>
        <w:top w:val="none" w:sz="0" w:space="0" w:color="auto"/>
        <w:left w:val="none" w:sz="0" w:space="0" w:color="auto"/>
        <w:bottom w:val="none" w:sz="0" w:space="0" w:color="auto"/>
        <w:right w:val="none" w:sz="0" w:space="0" w:color="auto"/>
      </w:divBdr>
    </w:div>
    <w:div w:id="1036080629">
      <w:bodyDiv w:val="1"/>
      <w:marLeft w:val="0"/>
      <w:marRight w:val="0"/>
      <w:marTop w:val="0"/>
      <w:marBottom w:val="0"/>
      <w:divBdr>
        <w:top w:val="none" w:sz="0" w:space="0" w:color="auto"/>
        <w:left w:val="none" w:sz="0" w:space="0" w:color="auto"/>
        <w:bottom w:val="none" w:sz="0" w:space="0" w:color="auto"/>
        <w:right w:val="none" w:sz="0" w:space="0" w:color="auto"/>
      </w:divBdr>
    </w:div>
    <w:div w:id="1057360596">
      <w:bodyDiv w:val="1"/>
      <w:marLeft w:val="0"/>
      <w:marRight w:val="0"/>
      <w:marTop w:val="0"/>
      <w:marBottom w:val="0"/>
      <w:divBdr>
        <w:top w:val="none" w:sz="0" w:space="0" w:color="auto"/>
        <w:left w:val="none" w:sz="0" w:space="0" w:color="auto"/>
        <w:bottom w:val="none" w:sz="0" w:space="0" w:color="auto"/>
        <w:right w:val="none" w:sz="0" w:space="0" w:color="auto"/>
      </w:divBdr>
    </w:div>
    <w:div w:id="1067414883">
      <w:bodyDiv w:val="1"/>
      <w:marLeft w:val="0"/>
      <w:marRight w:val="0"/>
      <w:marTop w:val="0"/>
      <w:marBottom w:val="0"/>
      <w:divBdr>
        <w:top w:val="none" w:sz="0" w:space="0" w:color="auto"/>
        <w:left w:val="none" w:sz="0" w:space="0" w:color="auto"/>
        <w:bottom w:val="none" w:sz="0" w:space="0" w:color="auto"/>
        <w:right w:val="none" w:sz="0" w:space="0" w:color="auto"/>
      </w:divBdr>
    </w:div>
    <w:div w:id="1102605492">
      <w:bodyDiv w:val="1"/>
      <w:marLeft w:val="0"/>
      <w:marRight w:val="0"/>
      <w:marTop w:val="0"/>
      <w:marBottom w:val="0"/>
      <w:divBdr>
        <w:top w:val="none" w:sz="0" w:space="0" w:color="auto"/>
        <w:left w:val="none" w:sz="0" w:space="0" w:color="auto"/>
        <w:bottom w:val="none" w:sz="0" w:space="0" w:color="auto"/>
        <w:right w:val="none" w:sz="0" w:space="0" w:color="auto"/>
      </w:divBdr>
    </w:div>
    <w:div w:id="1117916639">
      <w:bodyDiv w:val="1"/>
      <w:marLeft w:val="0"/>
      <w:marRight w:val="0"/>
      <w:marTop w:val="0"/>
      <w:marBottom w:val="0"/>
      <w:divBdr>
        <w:top w:val="none" w:sz="0" w:space="0" w:color="auto"/>
        <w:left w:val="none" w:sz="0" w:space="0" w:color="auto"/>
        <w:bottom w:val="none" w:sz="0" w:space="0" w:color="auto"/>
        <w:right w:val="none" w:sz="0" w:space="0" w:color="auto"/>
      </w:divBdr>
    </w:div>
    <w:div w:id="1136410918">
      <w:bodyDiv w:val="1"/>
      <w:marLeft w:val="0"/>
      <w:marRight w:val="0"/>
      <w:marTop w:val="0"/>
      <w:marBottom w:val="0"/>
      <w:divBdr>
        <w:top w:val="none" w:sz="0" w:space="0" w:color="auto"/>
        <w:left w:val="none" w:sz="0" w:space="0" w:color="auto"/>
        <w:bottom w:val="none" w:sz="0" w:space="0" w:color="auto"/>
        <w:right w:val="none" w:sz="0" w:space="0" w:color="auto"/>
      </w:divBdr>
    </w:div>
    <w:div w:id="1153836027">
      <w:bodyDiv w:val="1"/>
      <w:marLeft w:val="0"/>
      <w:marRight w:val="0"/>
      <w:marTop w:val="0"/>
      <w:marBottom w:val="0"/>
      <w:divBdr>
        <w:top w:val="none" w:sz="0" w:space="0" w:color="auto"/>
        <w:left w:val="none" w:sz="0" w:space="0" w:color="auto"/>
        <w:bottom w:val="none" w:sz="0" w:space="0" w:color="auto"/>
        <w:right w:val="none" w:sz="0" w:space="0" w:color="auto"/>
      </w:divBdr>
    </w:div>
    <w:div w:id="1163665451">
      <w:bodyDiv w:val="1"/>
      <w:marLeft w:val="0"/>
      <w:marRight w:val="0"/>
      <w:marTop w:val="0"/>
      <w:marBottom w:val="0"/>
      <w:divBdr>
        <w:top w:val="none" w:sz="0" w:space="0" w:color="auto"/>
        <w:left w:val="none" w:sz="0" w:space="0" w:color="auto"/>
        <w:bottom w:val="none" w:sz="0" w:space="0" w:color="auto"/>
        <w:right w:val="none" w:sz="0" w:space="0" w:color="auto"/>
      </w:divBdr>
    </w:div>
    <w:div w:id="1170826805">
      <w:bodyDiv w:val="1"/>
      <w:marLeft w:val="0"/>
      <w:marRight w:val="0"/>
      <w:marTop w:val="0"/>
      <w:marBottom w:val="0"/>
      <w:divBdr>
        <w:top w:val="none" w:sz="0" w:space="0" w:color="auto"/>
        <w:left w:val="none" w:sz="0" w:space="0" w:color="auto"/>
        <w:bottom w:val="none" w:sz="0" w:space="0" w:color="auto"/>
        <w:right w:val="none" w:sz="0" w:space="0" w:color="auto"/>
      </w:divBdr>
    </w:div>
    <w:div w:id="1221940823">
      <w:bodyDiv w:val="1"/>
      <w:marLeft w:val="0"/>
      <w:marRight w:val="0"/>
      <w:marTop w:val="0"/>
      <w:marBottom w:val="0"/>
      <w:divBdr>
        <w:top w:val="none" w:sz="0" w:space="0" w:color="auto"/>
        <w:left w:val="none" w:sz="0" w:space="0" w:color="auto"/>
        <w:bottom w:val="none" w:sz="0" w:space="0" w:color="auto"/>
        <w:right w:val="none" w:sz="0" w:space="0" w:color="auto"/>
      </w:divBdr>
    </w:div>
    <w:div w:id="1224636995">
      <w:bodyDiv w:val="1"/>
      <w:marLeft w:val="0"/>
      <w:marRight w:val="0"/>
      <w:marTop w:val="0"/>
      <w:marBottom w:val="0"/>
      <w:divBdr>
        <w:top w:val="none" w:sz="0" w:space="0" w:color="auto"/>
        <w:left w:val="none" w:sz="0" w:space="0" w:color="auto"/>
        <w:bottom w:val="none" w:sz="0" w:space="0" w:color="auto"/>
        <w:right w:val="none" w:sz="0" w:space="0" w:color="auto"/>
      </w:divBdr>
    </w:div>
    <w:div w:id="1229414663">
      <w:bodyDiv w:val="1"/>
      <w:marLeft w:val="0"/>
      <w:marRight w:val="0"/>
      <w:marTop w:val="0"/>
      <w:marBottom w:val="0"/>
      <w:divBdr>
        <w:top w:val="none" w:sz="0" w:space="0" w:color="auto"/>
        <w:left w:val="none" w:sz="0" w:space="0" w:color="auto"/>
        <w:bottom w:val="none" w:sz="0" w:space="0" w:color="auto"/>
        <w:right w:val="none" w:sz="0" w:space="0" w:color="auto"/>
      </w:divBdr>
    </w:div>
    <w:div w:id="1247569506">
      <w:bodyDiv w:val="1"/>
      <w:marLeft w:val="0"/>
      <w:marRight w:val="0"/>
      <w:marTop w:val="0"/>
      <w:marBottom w:val="0"/>
      <w:divBdr>
        <w:top w:val="none" w:sz="0" w:space="0" w:color="auto"/>
        <w:left w:val="none" w:sz="0" w:space="0" w:color="auto"/>
        <w:bottom w:val="none" w:sz="0" w:space="0" w:color="auto"/>
        <w:right w:val="none" w:sz="0" w:space="0" w:color="auto"/>
      </w:divBdr>
      <w:divsChild>
        <w:div w:id="305202288">
          <w:marLeft w:val="0"/>
          <w:marRight w:val="0"/>
          <w:marTop w:val="0"/>
          <w:marBottom w:val="0"/>
          <w:divBdr>
            <w:top w:val="none" w:sz="0" w:space="0" w:color="auto"/>
            <w:left w:val="none" w:sz="0" w:space="0" w:color="auto"/>
            <w:bottom w:val="none" w:sz="0" w:space="0" w:color="auto"/>
            <w:right w:val="none" w:sz="0" w:space="0" w:color="auto"/>
          </w:divBdr>
        </w:div>
      </w:divsChild>
    </w:div>
    <w:div w:id="1272250945">
      <w:bodyDiv w:val="1"/>
      <w:marLeft w:val="0"/>
      <w:marRight w:val="0"/>
      <w:marTop w:val="0"/>
      <w:marBottom w:val="0"/>
      <w:divBdr>
        <w:top w:val="none" w:sz="0" w:space="0" w:color="auto"/>
        <w:left w:val="none" w:sz="0" w:space="0" w:color="auto"/>
        <w:bottom w:val="none" w:sz="0" w:space="0" w:color="auto"/>
        <w:right w:val="none" w:sz="0" w:space="0" w:color="auto"/>
      </w:divBdr>
    </w:div>
    <w:div w:id="1294098344">
      <w:bodyDiv w:val="1"/>
      <w:marLeft w:val="0"/>
      <w:marRight w:val="0"/>
      <w:marTop w:val="0"/>
      <w:marBottom w:val="0"/>
      <w:divBdr>
        <w:top w:val="none" w:sz="0" w:space="0" w:color="auto"/>
        <w:left w:val="none" w:sz="0" w:space="0" w:color="auto"/>
        <w:bottom w:val="none" w:sz="0" w:space="0" w:color="auto"/>
        <w:right w:val="none" w:sz="0" w:space="0" w:color="auto"/>
      </w:divBdr>
      <w:divsChild>
        <w:div w:id="524096852">
          <w:marLeft w:val="0"/>
          <w:marRight w:val="0"/>
          <w:marTop w:val="0"/>
          <w:marBottom w:val="0"/>
          <w:divBdr>
            <w:top w:val="none" w:sz="0" w:space="0" w:color="auto"/>
            <w:left w:val="none" w:sz="0" w:space="0" w:color="auto"/>
            <w:bottom w:val="none" w:sz="0" w:space="0" w:color="auto"/>
            <w:right w:val="none" w:sz="0" w:space="0" w:color="auto"/>
          </w:divBdr>
          <w:divsChild>
            <w:div w:id="265120833">
              <w:marLeft w:val="0"/>
              <w:marRight w:val="0"/>
              <w:marTop w:val="0"/>
              <w:marBottom w:val="0"/>
              <w:divBdr>
                <w:top w:val="none" w:sz="0" w:space="0" w:color="auto"/>
                <w:left w:val="none" w:sz="0" w:space="0" w:color="auto"/>
                <w:bottom w:val="none" w:sz="0" w:space="0" w:color="auto"/>
                <w:right w:val="none" w:sz="0" w:space="0" w:color="auto"/>
              </w:divBdr>
              <w:divsChild>
                <w:div w:id="146825735">
                  <w:marLeft w:val="0"/>
                  <w:marRight w:val="0"/>
                  <w:marTop w:val="0"/>
                  <w:marBottom w:val="0"/>
                  <w:divBdr>
                    <w:top w:val="none" w:sz="0" w:space="0" w:color="auto"/>
                    <w:left w:val="none" w:sz="0" w:space="0" w:color="auto"/>
                    <w:bottom w:val="none" w:sz="0" w:space="0" w:color="auto"/>
                    <w:right w:val="none" w:sz="0" w:space="0" w:color="auto"/>
                  </w:divBdr>
                  <w:divsChild>
                    <w:div w:id="24410524">
                      <w:marLeft w:val="0"/>
                      <w:marRight w:val="0"/>
                      <w:marTop w:val="0"/>
                      <w:marBottom w:val="0"/>
                      <w:divBdr>
                        <w:top w:val="none" w:sz="0" w:space="0" w:color="auto"/>
                        <w:left w:val="none" w:sz="0" w:space="0" w:color="auto"/>
                        <w:bottom w:val="none" w:sz="0" w:space="0" w:color="auto"/>
                        <w:right w:val="none" w:sz="0" w:space="0" w:color="auto"/>
                      </w:divBdr>
                    </w:div>
                    <w:div w:id="1710227489">
                      <w:marLeft w:val="0"/>
                      <w:marRight w:val="0"/>
                      <w:marTop w:val="120"/>
                      <w:marBottom w:val="0"/>
                      <w:divBdr>
                        <w:top w:val="none" w:sz="0" w:space="0" w:color="auto"/>
                        <w:left w:val="none" w:sz="0" w:space="0" w:color="auto"/>
                        <w:bottom w:val="none" w:sz="0" w:space="0" w:color="auto"/>
                        <w:right w:val="none" w:sz="0" w:space="0" w:color="auto"/>
                      </w:divBdr>
                    </w:div>
                  </w:divsChild>
                </w:div>
                <w:div w:id="260377821">
                  <w:marLeft w:val="0"/>
                  <w:marRight w:val="0"/>
                  <w:marTop w:val="0"/>
                  <w:marBottom w:val="0"/>
                  <w:divBdr>
                    <w:top w:val="none" w:sz="0" w:space="0" w:color="auto"/>
                    <w:left w:val="none" w:sz="0" w:space="0" w:color="auto"/>
                    <w:bottom w:val="none" w:sz="0" w:space="0" w:color="auto"/>
                    <w:right w:val="none" w:sz="0" w:space="0" w:color="auto"/>
                  </w:divBdr>
                  <w:divsChild>
                    <w:div w:id="570233614">
                      <w:marLeft w:val="0"/>
                      <w:marRight w:val="0"/>
                      <w:marTop w:val="0"/>
                      <w:marBottom w:val="0"/>
                      <w:divBdr>
                        <w:top w:val="none" w:sz="0" w:space="0" w:color="auto"/>
                        <w:left w:val="none" w:sz="0" w:space="0" w:color="auto"/>
                        <w:bottom w:val="none" w:sz="0" w:space="0" w:color="auto"/>
                        <w:right w:val="none" w:sz="0" w:space="0" w:color="auto"/>
                      </w:divBdr>
                    </w:div>
                    <w:div w:id="126912382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202091759">
          <w:marLeft w:val="0"/>
          <w:marRight w:val="0"/>
          <w:marTop w:val="0"/>
          <w:marBottom w:val="0"/>
          <w:divBdr>
            <w:top w:val="none" w:sz="0" w:space="0" w:color="auto"/>
            <w:left w:val="none" w:sz="0" w:space="0" w:color="auto"/>
            <w:bottom w:val="none" w:sz="0" w:space="0" w:color="auto"/>
            <w:right w:val="none" w:sz="0" w:space="0" w:color="auto"/>
          </w:divBdr>
          <w:divsChild>
            <w:div w:id="32505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779328">
      <w:bodyDiv w:val="1"/>
      <w:marLeft w:val="0"/>
      <w:marRight w:val="0"/>
      <w:marTop w:val="0"/>
      <w:marBottom w:val="0"/>
      <w:divBdr>
        <w:top w:val="none" w:sz="0" w:space="0" w:color="auto"/>
        <w:left w:val="none" w:sz="0" w:space="0" w:color="auto"/>
        <w:bottom w:val="none" w:sz="0" w:space="0" w:color="auto"/>
        <w:right w:val="none" w:sz="0" w:space="0" w:color="auto"/>
      </w:divBdr>
      <w:divsChild>
        <w:div w:id="1562129277">
          <w:marLeft w:val="0"/>
          <w:marRight w:val="0"/>
          <w:marTop w:val="0"/>
          <w:marBottom w:val="0"/>
          <w:divBdr>
            <w:top w:val="none" w:sz="0" w:space="0" w:color="auto"/>
            <w:left w:val="none" w:sz="0" w:space="0" w:color="auto"/>
            <w:bottom w:val="none" w:sz="0" w:space="0" w:color="auto"/>
            <w:right w:val="none" w:sz="0" w:space="0" w:color="auto"/>
          </w:divBdr>
        </w:div>
      </w:divsChild>
    </w:div>
    <w:div w:id="1313830329">
      <w:bodyDiv w:val="1"/>
      <w:marLeft w:val="0"/>
      <w:marRight w:val="0"/>
      <w:marTop w:val="0"/>
      <w:marBottom w:val="0"/>
      <w:divBdr>
        <w:top w:val="none" w:sz="0" w:space="0" w:color="auto"/>
        <w:left w:val="none" w:sz="0" w:space="0" w:color="auto"/>
        <w:bottom w:val="none" w:sz="0" w:space="0" w:color="auto"/>
        <w:right w:val="none" w:sz="0" w:space="0" w:color="auto"/>
      </w:divBdr>
    </w:div>
    <w:div w:id="1333676186">
      <w:bodyDiv w:val="1"/>
      <w:marLeft w:val="0"/>
      <w:marRight w:val="0"/>
      <w:marTop w:val="0"/>
      <w:marBottom w:val="0"/>
      <w:divBdr>
        <w:top w:val="none" w:sz="0" w:space="0" w:color="auto"/>
        <w:left w:val="none" w:sz="0" w:space="0" w:color="auto"/>
        <w:bottom w:val="none" w:sz="0" w:space="0" w:color="auto"/>
        <w:right w:val="none" w:sz="0" w:space="0" w:color="auto"/>
      </w:divBdr>
    </w:div>
    <w:div w:id="1355031786">
      <w:bodyDiv w:val="1"/>
      <w:marLeft w:val="0"/>
      <w:marRight w:val="0"/>
      <w:marTop w:val="0"/>
      <w:marBottom w:val="0"/>
      <w:divBdr>
        <w:top w:val="none" w:sz="0" w:space="0" w:color="auto"/>
        <w:left w:val="none" w:sz="0" w:space="0" w:color="auto"/>
        <w:bottom w:val="none" w:sz="0" w:space="0" w:color="auto"/>
        <w:right w:val="none" w:sz="0" w:space="0" w:color="auto"/>
      </w:divBdr>
    </w:div>
    <w:div w:id="1384714943">
      <w:bodyDiv w:val="1"/>
      <w:marLeft w:val="0"/>
      <w:marRight w:val="0"/>
      <w:marTop w:val="0"/>
      <w:marBottom w:val="0"/>
      <w:divBdr>
        <w:top w:val="none" w:sz="0" w:space="0" w:color="auto"/>
        <w:left w:val="none" w:sz="0" w:space="0" w:color="auto"/>
        <w:bottom w:val="none" w:sz="0" w:space="0" w:color="auto"/>
        <w:right w:val="none" w:sz="0" w:space="0" w:color="auto"/>
      </w:divBdr>
    </w:div>
    <w:div w:id="1392077144">
      <w:bodyDiv w:val="1"/>
      <w:marLeft w:val="0"/>
      <w:marRight w:val="0"/>
      <w:marTop w:val="0"/>
      <w:marBottom w:val="0"/>
      <w:divBdr>
        <w:top w:val="none" w:sz="0" w:space="0" w:color="auto"/>
        <w:left w:val="none" w:sz="0" w:space="0" w:color="auto"/>
        <w:bottom w:val="none" w:sz="0" w:space="0" w:color="auto"/>
        <w:right w:val="none" w:sz="0" w:space="0" w:color="auto"/>
      </w:divBdr>
    </w:div>
    <w:div w:id="1400396627">
      <w:bodyDiv w:val="1"/>
      <w:marLeft w:val="0"/>
      <w:marRight w:val="0"/>
      <w:marTop w:val="0"/>
      <w:marBottom w:val="0"/>
      <w:divBdr>
        <w:top w:val="none" w:sz="0" w:space="0" w:color="auto"/>
        <w:left w:val="none" w:sz="0" w:space="0" w:color="auto"/>
        <w:bottom w:val="none" w:sz="0" w:space="0" w:color="auto"/>
        <w:right w:val="none" w:sz="0" w:space="0" w:color="auto"/>
      </w:divBdr>
    </w:div>
    <w:div w:id="1412582230">
      <w:bodyDiv w:val="1"/>
      <w:marLeft w:val="0"/>
      <w:marRight w:val="0"/>
      <w:marTop w:val="0"/>
      <w:marBottom w:val="0"/>
      <w:divBdr>
        <w:top w:val="none" w:sz="0" w:space="0" w:color="auto"/>
        <w:left w:val="none" w:sz="0" w:space="0" w:color="auto"/>
        <w:bottom w:val="none" w:sz="0" w:space="0" w:color="auto"/>
        <w:right w:val="none" w:sz="0" w:space="0" w:color="auto"/>
      </w:divBdr>
    </w:div>
    <w:div w:id="1424374991">
      <w:bodyDiv w:val="1"/>
      <w:marLeft w:val="0"/>
      <w:marRight w:val="0"/>
      <w:marTop w:val="0"/>
      <w:marBottom w:val="0"/>
      <w:divBdr>
        <w:top w:val="none" w:sz="0" w:space="0" w:color="auto"/>
        <w:left w:val="none" w:sz="0" w:space="0" w:color="auto"/>
        <w:bottom w:val="none" w:sz="0" w:space="0" w:color="auto"/>
        <w:right w:val="none" w:sz="0" w:space="0" w:color="auto"/>
      </w:divBdr>
    </w:div>
    <w:div w:id="1425879571">
      <w:bodyDiv w:val="1"/>
      <w:marLeft w:val="0"/>
      <w:marRight w:val="0"/>
      <w:marTop w:val="0"/>
      <w:marBottom w:val="0"/>
      <w:divBdr>
        <w:top w:val="none" w:sz="0" w:space="0" w:color="auto"/>
        <w:left w:val="none" w:sz="0" w:space="0" w:color="auto"/>
        <w:bottom w:val="none" w:sz="0" w:space="0" w:color="auto"/>
        <w:right w:val="none" w:sz="0" w:space="0" w:color="auto"/>
      </w:divBdr>
    </w:div>
    <w:div w:id="1429930885">
      <w:bodyDiv w:val="1"/>
      <w:marLeft w:val="0"/>
      <w:marRight w:val="0"/>
      <w:marTop w:val="0"/>
      <w:marBottom w:val="0"/>
      <w:divBdr>
        <w:top w:val="none" w:sz="0" w:space="0" w:color="auto"/>
        <w:left w:val="none" w:sz="0" w:space="0" w:color="auto"/>
        <w:bottom w:val="none" w:sz="0" w:space="0" w:color="auto"/>
        <w:right w:val="none" w:sz="0" w:space="0" w:color="auto"/>
      </w:divBdr>
    </w:div>
    <w:div w:id="1443185422">
      <w:bodyDiv w:val="1"/>
      <w:marLeft w:val="0"/>
      <w:marRight w:val="0"/>
      <w:marTop w:val="0"/>
      <w:marBottom w:val="0"/>
      <w:divBdr>
        <w:top w:val="none" w:sz="0" w:space="0" w:color="auto"/>
        <w:left w:val="none" w:sz="0" w:space="0" w:color="auto"/>
        <w:bottom w:val="none" w:sz="0" w:space="0" w:color="auto"/>
        <w:right w:val="none" w:sz="0" w:space="0" w:color="auto"/>
      </w:divBdr>
      <w:divsChild>
        <w:div w:id="653535941">
          <w:marLeft w:val="0"/>
          <w:marRight w:val="0"/>
          <w:marTop w:val="0"/>
          <w:marBottom w:val="0"/>
          <w:divBdr>
            <w:top w:val="none" w:sz="0" w:space="0" w:color="auto"/>
            <w:left w:val="none" w:sz="0" w:space="0" w:color="auto"/>
            <w:bottom w:val="none" w:sz="0" w:space="0" w:color="auto"/>
            <w:right w:val="none" w:sz="0" w:space="0" w:color="auto"/>
          </w:divBdr>
        </w:div>
        <w:div w:id="1006638417">
          <w:marLeft w:val="0"/>
          <w:marRight w:val="0"/>
          <w:marTop w:val="0"/>
          <w:marBottom w:val="0"/>
          <w:divBdr>
            <w:top w:val="none" w:sz="0" w:space="0" w:color="auto"/>
            <w:left w:val="none" w:sz="0" w:space="0" w:color="auto"/>
            <w:bottom w:val="none" w:sz="0" w:space="0" w:color="auto"/>
            <w:right w:val="none" w:sz="0" w:space="0" w:color="auto"/>
          </w:divBdr>
        </w:div>
      </w:divsChild>
    </w:div>
    <w:div w:id="1448818326">
      <w:bodyDiv w:val="1"/>
      <w:marLeft w:val="0"/>
      <w:marRight w:val="0"/>
      <w:marTop w:val="0"/>
      <w:marBottom w:val="0"/>
      <w:divBdr>
        <w:top w:val="none" w:sz="0" w:space="0" w:color="auto"/>
        <w:left w:val="none" w:sz="0" w:space="0" w:color="auto"/>
        <w:bottom w:val="none" w:sz="0" w:space="0" w:color="auto"/>
        <w:right w:val="none" w:sz="0" w:space="0" w:color="auto"/>
      </w:divBdr>
    </w:div>
    <w:div w:id="1536767708">
      <w:bodyDiv w:val="1"/>
      <w:marLeft w:val="0"/>
      <w:marRight w:val="0"/>
      <w:marTop w:val="0"/>
      <w:marBottom w:val="0"/>
      <w:divBdr>
        <w:top w:val="none" w:sz="0" w:space="0" w:color="auto"/>
        <w:left w:val="none" w:sz="0" w:space="0" w:color="auto"/>
        <w:bottom w:val="none" w:sz="0" w:space="0" w:color="auto"/>
        <w:right w:val="none" w:sz="0" w:space="0" w:color="auto"/>
      </w:divBdr>
    </w:div>
    <w:div w:id="1549800147">
      <w:bodyDiv w:val="1"/>
      <w:marLeft w:val="0"/>
      <w:marRight w:val="0"/>
      <w:marTop w:val="0"/>
      <w:marBottom w:val="0"/>
      <w:divBdr>
        <w:top w:val="none" w:sz="0" w:space="0" w:color="auto"/>
        <w:left w:val="none" w:sz="0" w:space="0" w:color="auto"/>
        <w:bottom w:val="none" w:sz="0" w:space="0" w:color="auto"/>
        <w:right w:val="none" w:sz="0" w:space="0" w:color="auto"/>
      </w:divBdr>
    </w:div>
    <w:div w:id="1550919171">
      <w:bodyDiv w:val="1"/>
      <w:marLeft w:val="0"/>
      <w:marRight w:val="0"/>
      <w:marTop w:val="0"/>
      <w:marBottom w:val="0"/>
      <w:divBdr>
        <w:top w:val="none" w:sz="0" w:space="0" w:color="auto"/>
        <w:left w:val="none" w:sz="0" w:space="0" w:color="auto"/>
        <w:bottom w:val="none" w:sz="0" w:space="0" w:color="auto"/>
        <w:right w:val="none" w:sz="0" w:space="0" w:color="auto"/>
      </w:divBdr>
    </w:div>
    <w:div w:id="1560479605">
      <w:bodyDiv w:val="1"/>
      <w:marLeft w:val="0"/>
      <w:marRight w:val="0"/>
      <w:marTop w:val="0"/>
      <w:marBottom w:val="0"/>
      <w:divBdr>
        <w:top w:val="none" w:sz="0" w:space="0" w:color="auto"/>
        <w:left w:val="none" w:sz="0" w:space="0" w:color="auto"/>
        <w:bottom w:val="none" w:sz="0" w:space="0" w:color="auto"/>
        <w:right w:val="none" w:sz="0" w:space="0" w:color="auto"/>
      </w:divBdr>
      <w:divsChild>
        <w:div w:id="268974934">
          <w:marLeft w:val="0"/>
          <w:marRight w:val="0"/>
          <w:marTop w:val="0"/>
          <w:marBottom w:val="0"/>
          <w:divBdr>
            <w:top w:val="none" w:sz="0" w:space="0" w:color="auto"/>
            <w:left w:val="none" w:sz="0" w:space="0" w:color="auto"/>
            <w:bottom w:val="none" w:sz="0" w:space="0" w:color="auto"/>
            <w:right w:val="none" w:sz="0" w:space="0" w:color="auto"/>
          </w:divBdr>
        </w:div>
      </w:divsChild>
    </w:div>
    <w:div w:id="1600941261">
      <w:bodyDiv w:val="1"/>
      <w:marLeft w:val="0"/>
      <w:marRight w:val="0"/>
      <w:marTop w:val="0"/>
      <w:marBottom w:val="0"/>
      <w:divBdr>
        <w:top w:val="none" w:sz="0" w:space="0" w:color="auto"/>
        <w:left w:val="none" w:sz="0" w:space="0" w:color="auto"/>
        <w:bottom w:val="none" w:sz="0" w:space="0" w:color="auto"/>
        <w:right w:val="none" w:sz="0" w:space="0" w:color="auto"/>
      </w:divBdr>
    </w:div>
    <w:div w:id="1616446323">
      <w:bodyDiv w:val="1"/>
      <w:marLeft w:val="0"/>
      <w:marRight w:val="0"/>
      <w:marTop w:val="0"/>
      <w:marBottom w:val="0"/>
      <w:divBdr>
        <w:top w:val="none" w:sz="0" w:space="0" w:color="auto"/>
        <w:left w:val="none" w:sz="0" w:space="0" w:color="auto"/>
        <w:bottom w:val="none" w:sz="0" w:space="0" w:color="auto"/>
        <w:right w:val="none" w:sz="0" w:space="0" w:color="auto"/>
      </w:divBdr>
    </w:div>
    <w:div w:id="1630629143">
      <w:bodyDiv w:val="1"/>
      <w:marLeft w:val="0"/>
      <w:marRight w:val="0"/>
      <w:marTop w:val="0"/>
      <w:marBottom w:val="0"/>
      <w:divBdr>
        <w:top w:val="none" w:sz="0" w:space="0" w:color="auto"/>
        <w:left w:val="none" w:sz="0" w:space="0" w:color="auto"/>
        <w:bottom w:val="none" w:sz="0" w:space="0" w:color="auto"/>
        <w:right w:val="none" w:sz="0" w:space="0" w:color="auto"/>
      </w:divBdr>
    </w:div>
    <w:div w:id="1666788086">
      <w:bodyDiv w:val="1"/>
      <w:marLeft w:val="0"/>
      <w:marRight w:val="0"/>
      <w:marTop w:val="0"/>
      <w:marBottom w:val="0"/>
      <w:divBdr>
        <w:top w:val="none" w:sz="0" w:space="0" w:color="auto"/>
        <w:left w:val="none" w:sz="0" w:space="0" w:color="auto"/>
        <w:bottom w:val="none" w:sz="0" w:space="0" w:color="auto"/>
        <w:right w:val="none" w:sz="0" w:space="0" w:color="auto"/>
      </w:divBdr>
    </w:div>
    <w:div w:id="1702438818">
      <w:bodyDiv w:val="1"/>
      <w:marLeft w:val="0"/>
      <w:marRight w:val="0"/>
      <w:marTop w:val="0"/>
      <w:marBottom w:val="0"/>
      <w:divBdr>
        <w:top w:val="none" w:sz="0" w:space="0" w:color="auto"/>
        <w:left w:val="none" w:sz="0" w:space="0" w:color="auto"/>
        <w:bottom w:val="none" w:sz="0" w:space="0" w:color="auto"/>
        <w:right w:val="none" w:sz="0" w:space="0" w:color="auto"/>
      </w:divBdr>
    </w:div>
    <w:div w:id="1705711044">
      <w:bodyDiv w:val="1"/>
      <w:marLeft w:val="0"/>
      <w:marRight w:val="0"/>
      <w:marTop w:val="0"/>
      <w:marBottom w:val="0"/>
      <w:divBdr>
        <w:top w:val="none" w:sz="0" w:space="0" w:color="auto"/>
        <w:left w:val="none" w:sz="0" w:space="0" w:color="auto"/>
        <w:bottom w:val="none" w:sz="0" w:space="0" w:color="auto"/>
        <w:right w:val="none" w:sz="0" w:space="0" w:color="auto"/>
      </w:divBdr>
    </w:div>
    <w:div w:id="1721636071">
      <w:bodyDiv w:val="1"/>
      <w:marLeft w:val="0"/>
      <w:marRight w:val="0"/>
      <w:marTop w:val="0"/>
      <w:marBottom w:val="0"/>
      <w:divBdr>
        <w:top w:val="none" w:sz="0" w:space="0" w:color="auto"/>
        <w:left w:val="none" w:sz="0" w:space="0" w:color="auto"/>
        <w:bottom w:val="none" w:sz="0" w:space="0" w:color="auto"/>
        <w:right w:val="none" w:sz="0" w:space="0" w:color="auto"/>
      </w:divBdr>
    </w:div>
    <w:div w:id="1724252993">
      <w:bodyDiv w:val="1"/>
      <w:marLeft w:val="0"/>
      <w:marRight w:val="0"/>
      <w:marTop w:val="0"/>
      <w:marBottom w:val="0"/>
      <w:divBdr>
        <w:top w:val="none" w:sz="0" w:space="0" w:color="auto"/>
        <w:left w:val="none" w:sz="0" w:space="0" w:color="auto"/>
        <w:bottom w:val="none" w:sz="0" w:space="0" w:color="auto"/>
        <w:right w:val="none" w:sz="0" w:space="0" w:color="auto"/>
      </w:divBdr>
    </w:div>
    <w:div w:id="1739673857">
      <w:bodyDiv w:val="1"/>
      <w:marLeft w:val="0"/>
      <w:marRight w:val="0"/>
      <w:marTop w:val="0"/>
      <w:marBottom w:val="0"/>
      <w:divBdr>
        <w:top w:val="none" w:sz="0" w:space="0" w:color="auto"/>
        <w:left w:val="none" w:sz="0" w:space="0" w:color="auto"/>
        <w:bottom w:val="none" w:sz="0" w:space="0" w:color="auto"/>
        <w:right w:val="none" w:sz="0" w:space="0" w:color="auto"/>
      </w:divBdr>
    </w:div>
    <w:div w:id="1743794267">
      <w:bodyDiv w:val="1"/>
      <w:marLeft w:val="0"/>
      <w:marRight w:val="0"/>
      <w:marTop w:val="0"/>
      <w:marBottom w:val="0"/>
      <w:divBdr>
        <w:top w:val="none" w:sz="0" w:space="0" w:color="auto"/>
        <w:left w:val="none" w:sz="0" w:space="0" w:color="auto"/>
        <w:bottom w:val="none" w:sz="0" w:space="0" w:color="auto"/>
        <w:right w:val="none" w:sz="0" w:space="0" w:color="auto"/>
      </w:divBdr>
    </w:div>
    <w:div w:id="1762138344">
      <w:bodyDiv w:val="1"/>
      <w:marLeft w:val="0"/>
      <w:marRight w:val="0"/>
      <w:marTop w:val="0"/>
      <w:marBottom w:val="0"/>
      <w:divBdr>
        <w:top w:val="none" w:sz="0" w:space="0" w:color="auto"/>
        <w:left w:val="none" w:sz="0" w:space="0" w:color="auto"/>
        <w:bottom w:val="none" w:sz="0" w:space="0" w:color="auto"/>
        <w:right w:val="none" w:sz="0" w:space="0" w:color="auto"/>
      </w:divBdr>
    </w:div>
    <w:div w:id="1783845080">
      <w:bodyDiv w:val="1"/>
      <w:marLeft w:val="0"/>
      <w:marRight w:val="0"/>
      <w:marTop w:val="0"/>
      <w:marBottom w:val="0"/>
      <w:divBdr>
        <w:top w:val="none" w:sz="0" w:space="0" w:color="auto"/>
        <w:left w:val="none" w:sz="0" w:space="0" w:color="auto"/>
        <w:bottom w:val="none" w:sz="0" w:space="0" w:color="auto"/>
        <w:right w:val="none" w:sz="0" w:space="0" w:color="auto"/>
      </w:divBdr>
      <w:divsChild>
        <w:div w:id="59598846">
          <w:marLeft w:val="547"/>
          <w:marRight w:val="0"/>
          <w:marTop w:val="0"/>
          <w:marBottom w:val="0"/>
          <w:divBdr>
            <w:top w:val="none" w:sz="0" w:space="0" w:color="auto"/>
            <w:left w:val="none" w:sz="0" w:space="0" w:color="auto"/>
            <w:bottom w:val="none" w:sz="0" w:space="0" w:color="auto"/>
            <w:right w:val="none" w:sz="0" w:space="0" w:color="auto"/>
          </w:divBdr>
        </w:div>
        <w:div w:id="413939337">
          <w:marLeft w:val="547"/>
          <w:marRight w:val="0"/>
          <w:marTop w:val="0"/>
          <w:marBottom w:val="0"/>
          <w:divBdr>
            <w:top w:val="none" w:sz="0" w:space="0" w:color="auto"/>
            <w:left w:val="none" w:sz="0" w:space="0" w:color="auto"/>
            <w:bottom w:val="none" w:sz="0" w:space="0" w:color="auto"/>
            <w:right w:val="none" w:sz="0" w:space="0" w:color="auto"/>
          </w:divBdr>
        </w:div>
        <w:div w:id="146214364">
          <w:marLeft w:val="547"/>
          <w:marRight w:val="0"/>
          <w:marTop w:val="0"/>
          <w:marBottom w:val="0"/>
          <w:divBdr>
            <w:top w:val="none" w:sz="0" w:space="0" w:color="auto"/>
            <w:left w:val="none" w:sz="0" w:space="0" w:color="auto"/>
            <w:bottom w:val="none" w:sz="0" w:space="0" w:color="auto"/>
            <w:right w:val="none" w:sz="0" w:space="0" w:color="auto"/>
          </w:divBdr>
        </w:div>
        <w:div w:id="278683491">
          <w:marLeft w:val="547"/>
          <w:marRight w:val="0"/>
          <w:marTop w:val="0"/>
          <w:marBottom w:val="0"/>
          <w:divBdr>
            <w:top w:val="none" w:sz="0" w:space="0" w:color="auto"/>
            <w:left w:val="none" w:sz="0" w:space="0" w:color="auto"/>
            <w:bottom w:val="none" w:sz="0" w:space="0" w:color="auto"/>
            <w:right w:val="none" w:sz="0" w:space="0" w:color="auto"/>
          </w:divBdr>
        </w:div>
      </w:divsChild>
    </w:div>
    <w:div w:id="1789931411">
      <w:bodyDiv w:val="1"/>
      <w:marLeft w:val="0"/>
      <w:marRight w:val="0"/>
      <w:marTop w:val="0"/>
      <w:marBottom w:val="0"/>
      <w:divBdr>
        <w:top w:val="none" w:sz="0" w:space="0" w:color="auto"/>
        <w:left w:val="none" w:sz="0" w:space="0" w:color="auto"/>
        <w:bottom w:val="none" w:sz="0" w:space="0" w:color="auto"/>
        <w:right w:val="none" w:sz="0" w:space="0" w:color="auto"/>
      </w:divBdr>
    </w:div>
    <w:div w:id="1803889121">
      <w:bodyDiv w:val="1"/>
      <w:marLeft w:val="0"/>
      <w:marRight w:val="0"/>
      <w:marTop w:val="0"/>
      <w:marBottom w:val="0"/>
      <w:divBdr>
        <w:top w:val="none" w:sz="0" w:space="0" w:color="auto"/>
        <w:left w:val="none" w:sz="0" w:space="0" w:color="auto"/>
        <w:bottom w:val="none" w:sz="0" w:space="0" w:color="auto"/>
        <w:right w:val="none" w:sz="0" w:space="0" w:color="auto"/>
      </w:divBdr>
      <w:divsChild>
        <w:div w:id="117262246">
          <w:marLeft w:val="0"/>
          <w:marRight w:val="0"/>
          <w:marTop w:val="0"/>
          <w:marBottom w:val="0"/>
          <w:divBdr>
            <w:top w:val="none" w:sz="0" w:space="0" w:color="auto"/>
            <w:left w:val="none" w:sz="0" w:space="0" w:color="auto"/>
            <w:bottom w:val="none" w:sz="0" w:space="0" w:color="auto"/>
            <w:right w:val="none" w:sz="0" w:space="0" w:color="auto"/>
          </w:divBdr>
          <w:divsChild>
            <w:div w:id="318850126">
              <w:marLeft w:val="0"/>
              <w:marRight w:val="0"/>
              <w:marTop w:val="0"/>
              <w:marBottom w:val="0"/>
              <w:divBdr>
                <w:top w:val="none" w:sz="0" w:space="0" w:color="auto"/>
                <w:left w:val="none" w:sz="0" w:space="0" w:color="auto"/>
                <w:bottom w:val="none" w:sz="0" w:space="0" w:color="auto"/>
                <w:right w:val="none" w:sz="0" w:space="0" w:color="auto"/>
              </w:divBdr>
            </w:div>
            <w:div w:id="743919532">
              <w:marLeft w:val="0"/>
              <w:marRight w:val="0"/>
              <w:marTop w:val="120"/>
              <w:marBottom w:val="0"/>
              <w:divBdr>
                <w:top w:val="none" w:sz="0" w:space="0" w:color="auto"/>
                <w:left w:val="none" w:sz="0" w:space="0" w:color="auto"/>
                <w:bottom w:val="none" w:sz="0" w:space="0" w:color="auto"/>
                <w:right w:val="none" w:sz="0" w:space="0" w:color="auto"/>
              </w:divBdr>
            </w:div>
          </w:divsChild>
        </w:div>
        <w:div w:id="875850986">
          <w:marLeft w:val="0"/>
          <w:marRight w:val="0"/>
          <w:marTop w:val="0"/>
          <w:marBottom w:val="0"/>
          <w:divBdr>
            <w:top w:val="none" w:sz="0" w:space="0" w:color="auto"/>
            <w:left w:val="none" w:sz="0" w:space="0" w:color="auto"/>
            <w:bottom w:val="none" w:sz="0" w:space="0" w:color="auto"/>
            <w:right w:val="none" w:sz="0" w:space="0" w:color="auto"/>
          </w:divBdr>
          <w:divsChild>
            <w:div w:id="545487203">
              <w:marLeft w:val="0"/>
              <w:marRight w:val="0"/>
              <w:marTop w:val="120"/>
              <w:marBottom w:val="0"/>
              <w:divBdr>
                <w:top w:val="none" w:sz="0" w:space="0" w:color="auto"/>
                <w:left w:val="none" w:sz="0" w:space="0" w:color="auto"/>
                <w:bottom w:val="none" w:sz="0" w:space="0" w:color="auto"/>
                <w:right w:val="none" w:sz="0" w:space="0" w:color="auto"/>
              </w:divBdr>
            </w:div>
            <w:div w:id="1772434066">
              <w:marLeft w:val="0"/>
              <w:marRight w:val="0"/>
              <w:marTop w:val="0"/>
              <w:marBottom w:val="0"/>
              <w:divBdr>
                <w:top w:val="none" w:sz="0" w:space="0" w:color="auto"/>
                <w:left w:val="none" w:sz="0" w:space="0" w:color="auto"/>
                <w:bottom w:val="none" w:sz="0" w:space="0" w:color="auto"/>
                <w:right w:val="none" w:sz="0" w:space="0" w:color="auto"/>
              </w:divBdr>
            </w:div>
          </w:divsChild>
        </w:div>
        <w:div w:id="1763447947">
          <w:marLeft w:val="0"/>
          <w:marRight w:val="0"/>
          <w:marTop w:val="0"/>
          <w:marBottom w:val="0"/>
          <w:divBdr>
            <w:top w:val="none" w:sz="0" w:space="0" w:color="auto"/>
            <w:left w:val="none" w:sz="0" w:space="0" w:color="auto"/>
            <w:bottom w:val="none" w:sz="0" w:space="0" w:color="auto"/>
            <w:right w:val="none" w:sz="0" w:space="0" w:color="auto"/>
          </w:divBdr>
          <w:divsChild>
            <w:div w:id="590823231">
              <w:marLeft w:val="0"/>
              <w:marRight w:val="0"/>
              <w:marTop w:val="0"/>
              <w:marBottom w:val="0"/>
              <w:divBdr>
                <w:top w:val="none" w:sz="0" w:space="0" w:color="auto"/>
                <w:left w:val="none" w:sz="0" w:space="0" w:color="auto"/>
                <w:bottom w:val="none" w:sz="0" w:space="0" w:color="auto"/>
                <w:right w:val="none" w:sz="0" w:space="0" w:color="auto"/>
              </w:divBdr>
            </w:div>
            <w:div w:id="1112935756">
              <w:marLeft w:val="0"/>
              <w:marRight w:val="0"/>
              <w:marTop w:val="120"/>
              <w:marBottom w:val="0"/>
              <w:divBdr>
                <w:top w:val="none" w:sz="0" w:space="0" w:color="auto"/>
                <w:left w:val="none" w:sz="0" w:space="0" w:color="auto"/>
                <w:bottom w:val="none" w:sz="0" w:space="0" w:color="auto"/>
                <w:right w:val="none" w:sz="0" w:space="0" w:color="auto"/>
              </w:divBdr>
            </w:div>
          </w:divsChild>
        </w:div>
        <w:div w:id="731461282">
          <w:marLeft w:val="0"/>
          <w:marRight w:val="0"/>
          <w:marTop w:val="0"/>
          <w:marBottom w:val="0"/>
          <w:divBdr>
            <w:top w:val="none" w:sz="0" w:space="0" w:color="auto"/>
            <w:left w:val="none" w:sz="0" w:space="0" w:color="auto"/>
            <w:bottom w:val="none" w:sz="0" w:space="0" w:color="auto"/>
            <w:right w:val="none" w:sz="0" w:space="0" w:color="auto"/>
          </w:divBdr>
          <w:divsChild>
            <w:div w:id="1356612901">
              <w:marLeft w:val="0"/>
              <w:marRight w:val="0"/>
              <w:marTop w:val="0"/>
              <w:marBottom w:val="0"/>
              <w:divBdr>
                <w:top w:val="none" w:sz="0" w:space="0" w:color="auto"/>
                <w:left w:val="none" w:sz="0" w:space="0" w:color="auto"/>
                <w:bottom w:val="none" w:sz="0" w:space="0" w:color="auto"/>
                <w:right w:val="none" w:sz="0" w:space="0" w:color="auto"/>
              </w:divBdr>
            </w:div>
            <w:div w:id="167714678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08622315">
      <w:bodyDiv w:val="1"/>
      <w:marLeft w:val="0"/>
      <w:marRight w:val="0"/>
      <w:marTop w:val="0"/>
      <w:marBottom w:val="0"/>
      <w:divBdr>
        <w:top w:val="none" w:sz="0" w:space="0" w:color="auto"/>
        <w:left w:val="none" w:sz="0" w:space="0" w:color="auto"/>
        <w:bottom w:val="none" w:sz="0" w:space="0" w:color="auto"/>
        <w:right w:val="none" w:sz="0" w:space="0" w:color="auto"/>
      </w:divBdr>
    </w:div>
    <w:div w:id="1811245754">
      <w:bodyDiv w:val="1"/>
      <w:marLeft w:val="0"/>
      <w:marRight w:val="0"/>
      <w:marTop w:val="0"/>
      <w:marBottom w:val="0"/>
      <w:divBdr>
        <w:top w:val="none" w:sz="0" w:space="0" w:color="auto"/>
        <w:left w:val="none" w:sz="0" w:space="0" w:color="auto"/>
        <w:bottom w:val="none" w:sz="0" w:space="0" w:color="auto"/>
        <w:right w:val="none" w:sz="0" w:space="0" w:color="auto"/>
      </w:divBdr>
    </w:div>
    <w:div w:id="1813667561">
      <w:bodyDiv w:val="1"/>
      <w:marLeft w:val="0"/>
      <w:marRight w:val="0"/>
      <w:marTop w:val="0"/>
      <w:marBottom w:val="0"/>
      <w:divBdr>
        <w:top w:val="none" w:sz="0" w:space="0" w:color="auto"/>
        <w:left w:val="none" w:sz="0" w:space="0" w:color="auto"/>
        <w:bottom w:val="none" w:sz="0" w:space="0" w:color="auto"/>
        <w:right w:val="none" w:sz="0" w:space="0" w:color="auto"/>
      </w:divBdr>
      <w:divsChild>
        <w:div w:id="1233274247">
          <w:marLeft w:val="0"/>
          <w:marRight w:val="0"/>
          <w:marTop w:val="0"/>
          <w:marBottom w:val="0"/>
          <w:divBdr>
            <w:top w:val="none" w:sz="0" w:space="0" w:color="auto"/>
            <w:left w:val="none" w:sz="0" w:space="0" w:color="auto"/>
            <w:bottom w:val="none" w:sz="0" w:space="0" w:color="auto"/>
            <w:right w:val="none" w:sz="0" w:space="0" w:color="auto"/>
          </w:divBdr>
        </w:div>
      </w:divsChild>
    </w:div>
    <w:div w:id="1814834105">
      <w:bodyDiv w:val="1"/>
      <w:marLeft w:val="0"/>
      <w:marRight w:val="0"/>
      <w:marTop w:val="0"/>
      <w:marBottom w:val="0"/>
      <w:divBdr>
        <w:top w:val="none" w:sz="0" w:space="0" w:color="auto"/>
        <w:left w:val="none" w:sz="0" w:space="0" w:color="auto"/>
        <w:bottom w:val="none" w:sz="0" w:space="0" w:color="auto"/>
        <w:right w:val="none" w:sz="0" w:space="0" w:color="auto"/>
      </w:divBdr>
    </w:div>
    <w:div w:id="1829514833">
      <w:bodyDiv w:val="1"/>
      <w:marLeft w:val="0"/>
      <w:marRight w:val="0"/>
      <w:marTop w:val="0"/>
      <w:marBottom w:val="0"/>
      <w:divBdr>
        <w:top w:val="none" w:sz="0" w:space="0" w:color="auto"/>
        <w:left w:val="none" w:sz="0" w:space="0" w:color="auto"/>
        <w:bottom w:val="none" w:sz="0" w:space="0" w:color="auto"/>
        <w:right w:val="none" w:sz="0" w:space="0" w:color="auto"/>
      </w:divBdr>
    </w:div>
    <w:div w:id="1829974982">
      <w:bodyDiv w:val="1"/>
      <w:marLeft w:val="0"/>
      <w:marRight w:val="0"/>
      <w:marTop w:val="0"/>
      <w:marBottom w:val="0"/>
      <w:divBdr>
        <w:top w:val="none" w:sz="0" w:space="0" w:color="auto"/>
        <w:left w:val="none" w:sz="0" w:space="0" w:color="auto"/>
        <w:bottom w:val="none" w:sz="0" w:space="0" w:color="auto"/>
        <w:right w:val="none" w:sz="0" w:space="0" w:color="auto"/>
      </w:divBdr>
    </w:div>
    <w:div w:id="1839804024">
      <w:bodyDiv w:val="1"/>
      <w:marLeft w:val="0"/>
      <w:marRight w:val="0"/>
      <w:marTop w:val="0"/>
      <w:marBottom w:val="0"/>
      <w:divBdr>
        <w:top w:val="none" w:sz="0" w:space="0" w:color="auto"/>
        <w:left w:val="none" w:sz="0" w:space="0" w:color="auto"/>
        <w:bottom w:val="none" w:sz="0" w:space="0" w:color="auto"/>
        <w:right w:val="none" w:sz="0" w:space="0" w:color="auto"/>
      </w:divBdr>
    </w:div>
    <w:div w:id="1846940716">
      <w:bodyDiv w:val="1"/>
      <w:marLeft w:val="0"/>
      <w:marRight w:val="0"/>
      <w:marTop w:val="0"/>
      <w:marBottom w:val="0"/>
      <w:divBdr>
        <w:top w:val="none" w:sz="0" w:space="0" w:color="auto"/>
        <w:left w:val="none" w:sz="0" w:space="0" w:color="auto"/>
        <w:bottom w:val="none" w:sz="0" w:space="0" w:color="auto"/>
        <w:right w:val="none" w:sz="0" w:space="0" w:color="auto"/>
      </w:divBdr>
    </w:div>
    <w:div w:id="1852836700">
      <w:bodyDiv w:val="1"/>
      <w:marLeft w:val="0"/>
      <w:marRight w:val="0"/>
      <w:marTop w:val="0"/>
      <w:marBottom w:val="0"/>
      <w:divBdr>
        <w:top w:val="none" w:sz="0" w:space="0" w:color="auto"/>
        <w:left w:val="none" w:sz="0" w:space="0" w:color="auto"/>
        <w:bottom w:val="none" w:sz="0" w:space="0" w:color="auto"/>
        <w:right w:val="none" w:sz="0" w:space="0" w:color="auto"/>
      </w:divBdr>
    </w:div>
    <w:div w:id="1855147957">
      <w:bodyDiv w:val="1"/>
      <w:marLeft w:val="0"/>
      <w:marRight w:val="0"/>
      <w:marTop w:val="0"/>
      <w:marBottom w:val="0"/>
      <w:divBdr>
        <w:top w:val="none" w:sz="0" w:space="0" w:color="auto"/>
        <w:left w:val="none" w:sz="0" w:space="0" w:color="auto"/>
        <w:bottom w:val="none" w:sz="0" w:space="0" w:color="auto"/>
        <w:right w:val="none" w:sz="0" w:space="0" w:color="auto"/>
      </w:divBdr>
    </w:div>
    <w:div w:id="1867911263">
      <w:bodyDiv w:val="1"/>
      <w:marLeft w:val="0"/>
      <w:marRight w:val="0"/>
      <w:marTop w:val="0"/>
      <w:marBottom w:val="0"/>
      <w:divBdr>
        <w:top w:val="none" w:sz="0" w:space="0" w:color="auto"/>
        <w:left w:val="none" w:sz="0" w:space="0" w:color="auto"/>
        <w:bottom w:val="none" w:sz="0" w:space="0" w:color="auto"/>
        <w:right w:val="none" w:sz="0" w:space="0" w:color="auto"/>
      </w:divBdr>
    </w:div>
    <w:div w:id="1876699185">
      <w:bodyDiv w:val="1"/>
      <w:marLeft w:val="0"/>
      <w:marRight w:val="0"/>
      <w:marTop w:val="0"/>
      <w:marBottom w:val="0"/>
      <w:divBdr>
        <w:top w:val="none" w:sz="0" w:space="0" w:color="auto"/>
        <w:left w:val="none" w:sz="0" w:space="0" w:color="auto"/>
        <w:bottom w:val="none" w:sz="0" w:space="0" w:color="auto"/>
        <w:right w:val="none" w:sz="0" w:space="0" w:color="auto"/>
      </w:divBdr>
    </w:div>
    <w:div w:id="1893731950">
      <w:bodyDiv w:val="1"/>
      <w:marLeft w:val="0"/>
      <w:marRight w:val="0"/>
      <w:marTop w:val="0"/>
      <w:marBottom w:val="0"/>
      <w:divBdr>
        <w:top w:val="none" w:sz="0" w:space="0" w:color="auto"/>
        <w:left w:val="none" w:sz="0" w:space="0" w:color="auto"/>
        <w:bottom w:val="none" w:sz="0" w:space="0" w:color="auto"/>
        <w:right w:val="none" w:sz="0" w:space="0" w:color="auto"/>
      </w:divBdr>
    </w:div>
    <w:div w:id="1937588789">
      <w:bodyDiv w:val="1"/>
      <w:marLeft w:val="0"/>
      <w:marRight w:val="0"/>
      <w:marTop w:val="0"/>
      <w:marBottom w:val="0"/>
      <w:divBdr>
        <w:top w:val="none" w:sz="0" w:space="0" w:color="auto"/>
        <w:left w:val="none" w:sz="0" w:space="0" w:color="auto"/>
        <w:bottom w:val="none" w:sz="0" w:space="0" w:color="auto"/>
        <w:right w:val="none" w:sz="0" w:space="0" w:color="auto"/>
      </w:divBdr>
    </w:div>
    <w:div w:id="1968194817">
      <w:bodyDiv w:val="1"/>
      <w:marLeft w:val="0"/>
      <w:marRight w:val="0"/>
      <w:marTop w:val="0"/>
      <w:marBottom w:val="0"/>
      <w:divBdr>
        <w:top w:val="none" w:sz="0" w:space="0" w:color="auto"/>
        <w:left w:val="none" w:sz="0" w:space="0" w:color="auto"/>
        <w:bottom w:val="none" w:sz="0" w:space="0" w:color="auto"/>
        <w:right w:val="none" w:sz="0" w:space="0" w:color="auto"/>
      </w:divBdr>
    </w:div>
    <w:div w:id="2035036981">
      <w:bodyDiv w:val="1"/>
      <w:marLeft w:val="0"/>
      <w:marRight w:val="0"/>
      <w:marTop w:val="0"/>
      <w:marBottom w:val="0"/>
      <w:divBdr>
        <w:top w:val="none" w:sz="0" w:space="0" w:color="auto"/>
        <w:left w:val="none" w:sz="0" w:space="0" w:color="auto"/>
        <w:bottom w:val="none" w:sz="0" w:space="0" w:color="auto"/>
        <w:right w:val="none" w:sz="0" w:space="0" w:color="auto"/>
      </w:divBdr>
    </w:div>
    <w:div w:id="2039232185">
      <w:bodyDiv w:val="1"/>
      <w:marLeft w:val="0"/>
      <w:marRight w:val="0"/>
      <w:marTop w:val="0"/>
      <w:marBottom w:val="0"/>
      <w:divBdr>
        <w:top w:val="none" w:sz="0" w:space="0" w:color="auto"/>
        <w:left w:val="none" w:sz="0" w:space="0" w:color="auto"/>
        <w:bottom w:val="none" w:sz="0" w:space="0" w:color="auto"/>
        <w:right w:val="none" w:sz="0" w:space="0" w:color="auto"/>
      </w:divBdr>
    </w:div>
    <w:div w:id="2046714859">
      <w:bodyDiv w:val="1"/>
      <w:marLeft w:val="0"/>
      <w:marRight w:val="0"/>
      <w:marTop w:val="0"/>
      <w:marBottom w:val="0"/>
      <w:divBdr>
        <w:top w:val="none" w:sz="0" w:space="0" w:color="auto"/>
        <w:left w:val="none" w:sz="0" w:space="0" w:color="auto"/>
        <w:bottom w:val="none" w:sz="0" w:space="0" w:color="auto"/>
        <w:right w:val="none" w:sz="0" w:space="0" w:color="auto"/>
      </w:divBdr>
    </w:div>
    <w:div w:id="2094474230">
      <w:bodyDiv w:val="1"/>
      <w:marLeft w:val="0"/>
      <w:marRight w:val="0"/>
      <w:marTop w:val="0"/>
      <w:marBottom w:val="0"/>
      <w:divBdr>
        <w:top w:val="none" w:sz="0" w:space="0" w:color="auto"/>
        <w:left w:val="none" w:sz="0" w:space="0" w:color="auto"/>
        <w:bottom w:val="none" w:sz="0" w:space="0" w:color="auto"/>
        <w:right w:val="none" w:sz="0" w:space="0" w:color="auto"/>
      </w:divBdr>
    </w:div>
    <w:div w:id="2136481158">
      <w:bodyDiv w:val="1"/>
      <w:marLeft w:val="0"/>
      <w:marRight w:val="0"/>
      <w:marTop w:val="0"/>
      <w:marBottom w:val="0"/>
      <w:divBdr>
        <w:top w:val="none" w:sz="0" w:space="0" w:color="auto"/>
        <w:left w:val="none" w:sz="0" w:space="0" w:color="auto"/>
        <w:bottom w:val="none" w:sz="0" w:space="0" w:color="auto"/>
        <w:right w:val="none" w:sz="0" w:space="0" w:color="auto"/>
      </w:divBdr>
    </w:div>
    <w:div w:id="214107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hyperlink" Target="https://eur-lex.europa.eu/legal-content/EL/TXT/PDF/?uri=CELEX:32021R0523&amp;from=EN"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yperlink" Target="https://eur-lex.europa.eu/legal-content/EL/TXT/PDF/?uri=CELEX:32021R0523&amp;from=EN"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ur-lex.europa.eu/legal-content/EL/TXT/PDF/?uri=CELEX:32021R0523&amp;from=E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24" Type="http://schemas.openxmlformats.org/officeDocument/2006/relationships/header" Target="header3.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eur-lex.europa.eu/legal-content/EL/TXT/PDF/?uri=CELEX:32021R0523&amp;from=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footer" Target="foot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EL/TXT/PDF/?uri=CELEX:52021XC0713(02)&amp;from=EN)" TargetMode="External"/><Relationship Id="rId2" Type="http://schemas.openxmlformats.org/officeDocument/2006/relationships/hyperlink" Target="https://eur-lex.europa.eu/legal-content/EL/TXT/PDF/?uri=CELEX:32014R0651&amp;from=EL" TargetMode="External"/><Relationship Id="rId1" Type="http://schemas.openxmlformats.org/officeDocument/2006/relationships/hyperlink" Target="https://eur-lex.europa.eu/legal-content/EL/TXT/PDF/?uri=CELEX:32021R0523&amp;from=EL" TargetMode="External"/><Relationship Id="rId6" Type="http://schemas.openxmlformats.org/officeDocument/2006/relationships/hyperlink" Target="https://ec.europa.eu/competition-policy/state-aid/legislation/reference-discount-rates-and-recovery-interest-rates/reference-and-discount_en" TargetMode="External"/><Relationship Id="rId5" Type="http://schemas.openxmlformats.org/officeDocument/2006/relationships/hyperlink" Target="https://eur-lex.europa.eu/legal-content/EL/TXT/PDF/?uri=CELEX:32021R0241&amp;from=EN" TargetMode="External"/><Relationship Id="rId4" Type="http://schemas.openxmlformats.org/officeDocument/2006/relationships/hyperlink" Target="https://eur-lex.europa.eu/legal-content/EL/TXT/PDF/?uri=CELEX:32021R0241&amp;from=EN"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595384B-0238-4D3A-9810-2A2584D6BCD0}" type="doc">
      <dgm:prSet loTypeId="urn:microsoft.com/office/officeart/2009/3/layout/IncreasingArrowsProcess" loCatId="process" qsTypeId="urn:microsoft.com/office/officeart/2005/8/quickstyle/simple1" qsCatId="simple" csTypeId="urn:microsoft.com/office/officeart/2005/8/colors/accent1_2" csCatId="accent1" phldr="1"/>
      <dgm:spPr/>
      <dgm:t>
        <a:bodyPr/>
        <a:lstStyle/>
        <a:p>
          <a:endParaRPr lang="en-US"/>
        </a:p>
      </dgm:t>
    </dgm:pt>
    <dgm:pt modelId="{374C7649-61F4-4903-A494-11EC660753F5}">
      <dgm:prSet phldrT="[Text]" custT="1"/>
      <dgm:spPr/>
      <dgm:t>
        <a:bodyPr/>
        <a:lstStyle/>
        <a:p>
          <a:r>
            <a:rPr lang="el-GR" sz="800"/>
            <a:t>Αξιολόγηση επιλεξιμότητας με βάση τους στόχους του ΕΣΑΑ / καθορισμός του ύψους του δανείου ΤΑΑ</a:t>
          </a:r>
          <a:endParaRPr lang="en-US" sz="800"/>
        </a:p>
      </dgm:t>
    </dgm:pt>
    <dgm:pt modelId="{6BF258D4-87D3-43D2-B4A5-8E219203A7AC}" type="parTrans" cxnId="{07E307D6-ADB5-4825-8A07-7C040B856509}">
      <dgm:prSet/>
      <dgm:spPr/>
      <dgm:t>
        <a:bodyPr/>
        <a:lstStyle/>
        <a:p>
          <a:endParaRPr lang="en-US" sz="800"/>
        </a:p>
      </dgm:t>
    </dgm:pt>
    <dgm:pt modelId="{8645240E-C1F2-469E-A5E1-1C202BEFD704}" type="sibTrans" cxnId="{07E307D6-ADB5-4825-8A07-7C040B856509}">
      <dgm:prSet/>
      <dgm:spPr/>
      <dgm:t>
        <a:bodyPr/>
        <a:lstStyle/>
        <a:p>
          <a:endParaRPr lang="en-US" sz="800"/>
        </a:p>
      </dgm:t>
    </dgm:pt>
    <dgm:pt modelId="{D58E06B5-43EA-4C92-A486-B5F66078FFC8}">
      <dgm:prSet phldrT="[Text]" custT="1"/>
      <dgm:spPr/>
      <dgm:t>
        <a:bodyPr/>
        <a:lstStyle/>
        <a:p>
          <a:r>
            <a:rPr lang="el-GR" sz="800"/>
            <a:t>Πράσινη Μετάβαση</a:t>
          </a:r>
          <a:endParaRPr lang="en-US" sz="800"/>
        </a:p>
      </dgm:t>
    </dgm:pt>
    <dgm:pt modelId="{CD84C4EA-9B43-45FE-924A-DE4C293AE40B}" type="parTrans" cxnId="{A9D80426-7FA2-4D77-80C0-AB8A234F6BF6}">
      <dgm:prSet/>
      <dgm:spPr/>
      <dgm:t>
        <a:bodyPr/>
        <a:lstStyle/>
        <a:p>
          <a:endParaRPr lang="en-US" sz="800"/>
        </a:p>
      </dgm:t>
    </dgm:pt>
    <dgm:pt modelId="{C027E3D9-5E95-4945-8119-198CB962878C}" type="sibTrans" cxnId="{A9D80426-7FA2-4D77-80C0-AB8A234F6BF6}">
      <dgm:prSet/>
      <dgm:spPr/>
      <dgm:t>
        <a:bodyPr/>
        <a:lstStyle/>
        <a:p>
          <a:endParaRPr lang="en-US" sz="800"/>
        </a:p>
      </dgm:t>
    </dgm:pt>
    <dgm:pt modelId="{8D5629B6-849A-4CC9-BB32-89E9A7E63CA6}">
      <dgm:prSet phldrT="[Text]" custT="1"/>
      <dgm:spPr/>
      <dgm:t>
        <a:bodyPr/>
        <a:lstStyle/>
        <a:p>
          <a:r>
            <a:rPr lang="el-GR" sz="800"/>
            <a:t>Χαρακτηρισμός παρέμβασης στόχων ΕΕ</a:t>
          </a:r>
          <a:r>
            <a:rPr lang="en-US" sz="800"/>
            <a:t> </a:t>
          </a:r>
          <a:r>
            <a:rPr lang="el-GR" sz="800"/>
            <a:t>/ υπολογισμός συνεισφοράς</a:t>
          </a:r>
          <a:endParaRPr lang="en-US" sz="800"/>
        </a:p>
      </dgm:t>
    </dgm:pt>
    <dgm:pt modelId="{BF7A3D83-796D-4678-9943-59356EBA2156}" type="parTrans" cxnId="{10E67DC0-93A9-4EB3-9CDE-BA1E3383126D}">
      <dgm:prSet/>
      <dgm:spPr/>
      <dgm:t>
        <a:bodyPr/>
        <a:lstStyle/>
        <a:p>
          <a:endParaRPr lang="en-US" sz="800"/>
        </a:p>
      </dgm:t>
    </dgm:pt>
    <dgm:pt modelId="{B6322F79-51E9-4FB8-9C24-45BBBECA8940}" type="sibTrans" cxnId="{10E67DC0-93A9-4EB3-9CDE-BA1E3383126D}">
      <dgm:prSet/>
      <dgm:spPr/>
      <dgm:t>
        <a:bodyPr/>
        <a:lstStyle/>
        <a:p>
          <a:endParaRPr lang="en-US" sz="800"/>
        </a:p>
      </dgm:t>
    </dgm:pt>
    <dgm:pt modelId="{4455CD95-FE07-4A65-9DCE-40DDA7CA77A7}">
      <dgm:prSet phldrT="[Text]" custT="1"/>
      <dgm:spPr/>
      <dgm:t>
        <a:bodyPr/>
        <a:lstStyle/>
        <a:p>
          <a:r>
            <a:rPr lang="el-GR" sz="800"/>
            <a:t>Κλιματική αλλαγή και περιβαλλοντικοί στόχοι (</a:t>
          </a:r>
          <a:r>
            <a:rPr lang="en-US" sz="800"/>
            <a:t>green tagging)</a:t>
          </a:r>
        </a:p>
      </dgm:t>
    </dgm:pt>
    <dgm:pt modelId="{062E5FED-EC0D-4281-B4B5-BE22EBAE1855}" type="parTrans" cxnId="{366F209C-29AF-49EB-AA57-240B592AC55D}">
      <dgm:prSet/>
      <dgm:spPr/>
      <dgm:t>
        <a:bodyPr/>
        <a:lstStyle/>
        <a:p>
          <a:endParaRPr lang="en-US" sz="800"/>
        </a:p>
      </dgm:t>
    </dgm:pt>
    <dgm:pt modelId="{F11B8A3F-CB0C-42CB-B1E2-25F29D7E25EE}" type="sibTrans" cxnId="{366F209C-29AF-49EB-AA57-240B592AC55D}">
      <dgm:prSet/>
      <dgm:spPr/>
      <dgm:t>
        <a:bodyPr/>
        <a:lstStyle/>
        <a:p>
          <a:endParaRPr lang="en-US" sz="800"/>
        </a:p>
      </dgm:t>
    </dgm:pt>
    <dgm:pt modelId="{9DE7CCCD-6DD5-4A1E-B291-CE8514E6D558}">
      <dgm:prSet phldrT="[Text]" custT="1"/>
      <dgm:spPr/>
      <dgm:t>
        <a:bodyPr/>
        <a:lstStyle/>
        <a:p>
          <a:r>
            <a:rPr lang="el-GR" sz="800"/>
            <a:t>Στήριξη για τη ψηφιακή μετάβαση (</a:t>
          </a:r>
          <a:r>
            <a:rPr lang="en-US" sz="800"/>
            <a:t>digital tagging)</a:t>
          </a:r>
        </a:p>
      </dgm:t>
    </dgm:pt>
    <dgm:pt modelId="{43D7543F-37C2-4867-AC0A-2EE3545349B1}" type="parTrans" cxnId="{0B355BC5-995E-458E-BCF7-B5B09227C17E}">
      <dgm:prSet/>
      <dgm:spPr/>
      <dgm:t>
        <a:bodyPr/>
        <a:lstStyle/>
        <a:p>
          <a:endParaRPr lang="en-US" sz="800"/>
        </a:p>
      </dgm:t>
    </dgm:pt>
    <dgm:pt modelId="{CF365125-2105-4640-B395-86428A37F7E5}" type="sibTrans" cxnId="{0B355BC5-995E-458E-BCF7-B5B09227C17E}">
      <dgm:prSet/>
      <dgm:spPr/>
      <dgm:t>
        <a:bodyPr/>
        <a:lstStyle/>
        <a:p>
          <a:endParaRPr lang="en-US" sz="800"/>
        </a:p>
      </dgm:t>
    </dgm:pt>
    <dgm:pt modelId="{28302175-B6E4-4247-8313-E5317F06637F}">
      <dgm:prSet phldrT="[Text]" custT="1"/>
      <dgm:spPr/>
      <dgm:t>
        <a:bodyPr/>
        <a:lstStyle/>
        <a:p>
          <a:r>
            <a:rPr lang="el-GR" sz="800"/>
            <a:t>Αξιολόγηση επιλεξιμότητας βε βάση τη συμμόρφωση με την</a:t>
          </a:r>
          <a:r>
            <a:rPr lang="en-US" sz="800"/>
            <a:t> </a:t>
          </a:r>
          <a:r>
            <a:rPr lang="el-GR" sz="800"/>
            <a:t>Αρχή μη πρόκλησης σημαντικής βλάβης </a:t>
          </a:r>
          <a:r>
            <a:rPr lang="en-US" sz="800"/>
            <a:t> (DNSH)</a:t>
          </a:r>
        </a:p>
      </dgm:t>
    </dgm:pt>
    <dgm:pt modelId="{66429737-7168-490D-8689-C9340AE7670F}" type="parTrans" cxnId="{CA7167C0-B1C7-4420-91DC-DD99A78E6C1D}">
      <dgm:prSet/>
      <dgm:spPr/>
      <dgm:t>
        <a:bodyPr/>
        <a:lstStyle/>
        <a:p>
          <a:endParaRPr lang="en-US" sz="800"/>
        </a:p>
      </dgm:t>
    </dgm:pt>
    <dgm:pt modelId="{9260AC9B-91E1-4B17-BB51-243FC4F156ED}" type="sibTrans" cxnId="{CA7167C0-B1C7-4420-91DC-DD99A78E6C1D}">
      <dgm:prSet/>
      <dgm:spPr/>
      <dgm:t>
        <a:bodyPr/>
        <a:lstStyle/>
        <a:p>
          <a:endParaRPr lang="en-US" sz="800"/>
        </a:p>
      </dgm:t>
    </dgm:pt>
    <dgm:pt modelId="{1C4763EC-4237-40A1-BB4E-ED8E46314BF8}">
      <dgm:prSet phldrT="[Text]" custT="1"/>
      <dgm:spPr/>
      <dgm:t>
        <a:bodyPr/>
        <a:lstStyle/>
        <a:p>
          <a:r>
            <a:rPr lang="el-GR" sz="800"/>
            <a:t>Κανονισμός θέσπισης πλαισίου για τη διευκόλυνση των βιώσιμων επενδύσεων</a:t>
          </a:r>
          <a:r>
            <a:rPr lang="en-US" sz="800"/>
            <a:t> (EE)2020/852 (EU Taxonomy)</a:t>
          </a:r>
        </a:p>
      </dgm:t>
    </dgm:pt>
    <dgm:pt modelId="{C476001F-4FD2-41FE-B4EB-5224C06A1B8E}" type="parTrans" cxnId="{7ED00108-DBB9-49B8-B2E8-CF1FCCB49BB9}">
      <dgm:prSet/>
      <dgm:spPr/>
      <dgm:t>
        <a:bodyPr/>
        <a:lstStyle/>
        <a:p>
          <a:endParaRPr lang="en-US" sz="800"/>
        </a:p>
      </dgm:t>
    </dgm:pt>
    <dgm:pt modelId="{AB61D190-19CD-483E-AD86-E421726834C7}" type="sibTrans" cxnId="{7ED00108-DBB9-49B8-B2E8-CF1FCCB49BB9}">
      <dgm:prSet/>
      <dgm:spPr/>
      <dgm:t>
        <a:bodyPr/>
        <a:lstStyle/>
        <a:p>
          <a:endParaRPr lang="en-US" sz="800"/>
        </a:p>
      </dgm:t>
    </dgm:pt>
    <dgm:pt modelId="{F4AF1C9A-3AF7-48F8-9DB9-06C4FA38755B}">
      <dgm:prSet phldrT="[Text]" custT="1"/>
      <dgm:spPr/>
      <dgm:t>
        <a:bodyPr/>
        <a:lstStyle/>
        <a:p>
          <a:r>
            <a:rPr lang="el-GR" sz="800"/>
            <a:t>Ψηφιακός Μετασχηματισμός</a:t>
          </a:r>
          <a:endParaRPr lang="en-US" sz="800"/>
        </a:p>
      </dgm:t>
    </dgm:pt>
    <dgm:pt modelId="{3A6E122A-D5D3-414E-A773-FBDDFEF519EA}" type="parTrans" cxnId="{E44F5914-4D07-4CDA-BB84-13A4DCFC3C24}">
      <dgm:prSet/>
      <dgm:spPr/>
      <dgm:t>
        <a:bodyPr/>
        <a:lstStyle/>
        <a:p>
          <a:endParaRPr lang="en-US" sz="800"/>
        </a:p>
      </dgm:t>
    </dgm:pt>
    <dgm:pt modelId="{228C3D26-14DC-4573-949A-26A77BF99E82}" type="sibTrans" cxnId="{E44F5914-4D07-4CDA-BB84-13A4DCFC3C24}">
      <dgm:prSet/>
      <dgm:spPr/>
      <dgm:t>
        <a:bodyPr/>
        <a:lstStyle/>
        <a:p>
          <a:endParaRPr lang="en-US" sz="800"/>
        </a:p>
      </dgm:t>
    </dgm:pt>
    <dgm:pt modelId="{3B2E91FD-6D80-4892-952B-B1AEB9BD2EDA}">
      <dgm:prSet phldrT="[Text]" custT="1"/>
      <dgm:spPr/>
      <dgm:t>
        <a:bodyPr/>
        <a:lstStyle/>
        <a:p>
          <a:r>
            <a:rPr lang="el-GR" sz="800"/>
            <a:t>Καινοτομία - Έρευνα &amp; Ανάπτυξη</a:t>
          </a:r>
          <a:endParaRPr lang="en-US" sz="800"/>
        </a:p>
      </dgm:t>
    </dgm:pt>
    <dgm:pt modelId="{1B56AA38-1CE1-49C7-99FF-DFFD3B58E85E}" type="parTrans" cxnId="{F22AC2B5-7C93-43C4-85C2-516B1711BC95}">
      <dgm:prSet/>
      <dgm:spPr/>
      <dgm:t>
        <a:bodyPr/>
        <a:lstStyle/>
        <a:p>
          <a:endParaRPr lang="en-US" sz="800"/>
        </a:p>
      </dgm:t>
    </dgm:pt>
    <dgm:pt modelId="{D3D20411-2BC8-4835-AC25-FBE1D98A84F0}" type="sibTrans" cxnId="{F22AC2B5-7C93-43C4-85C2-516B1711BC95}">
      <dgm:prSet/>
      <dgm:spPr/>
      <dgm:t>
        <a:bodyPr/>
        <a:lstStyle/>
        <a:p>
          <a:endParaRPr lang="en-US" sz="800"/>
        </a:p>
      </dgm:t>
    </dgm:pt>
    <dgm:pt modelId="{BDDEC669-2D2B-4030-90A0-80A92ECF818E}">
      <dgm:prSet phldrT="[Text]" custT="1"/>
      <dgm:spPr/>
      <dgm:t>
        <a:bodyPr/>
        <a:lstStyle/>
        <a:p>
          <a:r>
            <a:rPr lang="el-GR" sz="800"/>
            <a:t>Ανάπτυξη Οικονομιών Κλίμακας</a:t>
          </a:r>
          <a:endParaRPr lang="en-US" sz="800"/>
        </a:p>
      </dgm:t>
    </dgm:pt>
    <dgm:pt modelId="{7A6B301A-9A48-4797-9B4E-D784C66A499F}" type="parTrans" cxnId="{3756CA76-71B4-4514-ADD1-D45D24A0A447}">
      <dgm:prSet/>
      <dgm:spPr/>
      <dgm:t>
        <a:bodyPr/>
        <a:lstStyle/>
        <a:p>
          <a:endParaRPr lang="en-US" sz="800"/>
        </a:p>
      </dgm:t>
    </dgm:pt>
    <dgm:pt modelId="{565DE19E-6806-4FE5-B669-DDF0DAE3C2B0}" type="sibTrans" cxnId="{3756CA76-71B4-4514-ADD1-D45D24A0A447}">
      <dgm:prSet/>
      <dgm:spPr/>
      <dgm:t>
        <a:bodyPr/>
        <a:lstStyle/>
        <a:p>
          <a:endParaRPr lang="en-US" sz="800"/>
        </a:p>
      </dgm:t>
    </dgm:pt>
    <dgm:pt modelId="{A0117001-06F4-4323-ACEB-D13E36CA265D}">
      <dgm:prSet phldrT="[Text]" custT="1"/>
      <dgm:spPr/>
      <dgm:t>
        <a:bodyPr/>
        <a:lstStyle/>
        <a:p>
          <a:r>
            <a:rPr lang="el-GR" sz="800"/>
            <a:t>Εξωστρέφεια</a:t>
          </a:r>
          <a:endParaRPr lang="en-US" sz="800"/>
        </a:p>
      </dgm:t>
    </dgm:pt>
    <dgm:pt modelId="{C768AA61-FE30-4737-8C56-D66FD9AC0587}" type="parTrans" cxnId="{D726401E-1AEC-4842-8CC9-C927D5187B54}">
      <dgm:prSet/>
      <dgm:spPr/>
      <dgm:t>
        <a:bodyPr/>
        <a:lstStyle/>
        <a:p>
          <a:endParaRPr lang="en-US" sz="800"/>
        </a:p>
      </dgm:t>
    </dgm:pt>
    <dgm:pt modelId="{39B0DA5D-29CD-4CA9-82B2-05FB011DD6FA}" type="sibTrans" cxnId="{D726401E-1AEC-4842-8CC9-C927D5187B54}">
      <dgm:prSet/>
      <dgm:spPr/>
      <dgm:t>
        <a:bodyPr/>
        <a:lstStyle/>
        <a:p>
          <a:endParaRPr lang="en-US" sz="800"/>
        </a:p>
      </dgm:t>
    </dgm:pt>
    <dgm:pt modelId="{47D9493F-20DE-4782-AF90-58BEBF60E565}">
      <dgm:prSet phldrT="[Text]" custT="1"/>
      <dgm:spPr/>
      <dgm:t>
        <a:bodyPr/>
        <a:lstStyle/>
        <a:p>
          <a:r>
            <a:rPr lang="el-GR" sz="800"/>
            <a:t>Συμβατότητα με Κρατικές Ενισχύσεις</a:t>
          </a:r>
          <a:endParaRPr lang="en-US" sz="800"/>
        </a:p>
      </dgm:t>
    </dgm:pt>
    <dgm:pt modelId="{EB7FB6E8-5326-49E4-B695-0A8221D9EE07}" type="parTrans" cxnId="{3344CBF1-7362-4226-9ABE-5479E6103C06}">
      <dgm:prSet/>
      <dgm:spPr/>
      <dgm:t>
        <a:bodyPr/>
        <a:lstStyle/>
        <a:p>
          <a:endParaRPr lang="en-US" sz="800"/>
        </a:p>
      </dgm:t>
    </dgm:pt>
    <dgm:pt modelId="{C70CDEED-1554-4D34-9CD9-191565F1A48F}" type="sibTrans" cxnId="{3344CBF1-7362-4226-9ABE-5479E6103C06}">
      <dgm:prSet/>
      <dgm:spPr/>
      <dgm:t>
        <a:bodyPr/>
        <a:lstStyle/>
        <a:p>
          <a:endParaRPr lang="en-US" sz="800"/>
        </a:p>
      </dgm:t>
    </dgm:pt>
    <dgm:pt modelId="{A515A19D-A661-4C8C-BB87-806C8B70E90C}">
      <dgm:prSet phldrT="[Text]" custT="1"/>
      <dgm:spPr/>
      <dgm:t>
        <a:bodyPr/>
        <a:lstStyle/>
        <a:p>
          <a:r>
            <a:rPr lang="el-GR" sz="800"/>
            <a:t>Γενικός Απαλλακτικός Κανονισμός </a:t>
          </a:r>
          <a:r>
            <a:rPr lang="en-US" sz="800"/>
            <a:t>(EE) </a:t>
          </a:r>
          <a:r>
            <a:rPr lang="el-GR" sz="800"/>
            <a:t>2014</a:t>
          </a:r>
          <a:r>
            <a:rPr lang="en-US" sz="800"/>
            <a:t>/651</a:t>
          </a:r>
        </a:p>
      </dgm:t>
    </dgm:pt>
    <dgm:pt modelId="{467074F4-268C-49B0-8DD0-232636AD5EB8}" type="parTrans" cxnId="{BE0CB476-22EF-4E51-8314-29C0BAC606AB}">
      <dgm:prSet/>
      <dgm:spPr/>
      <dgm:t>
        <a:bodyPr/>
        <a:lstStyle/>
        <a:p>
          <a:endParaRPr lang="en-US" sz="800"/>
        </a:p>
      </dgm:t>
    </dgm:pt>
    <dgm:pt modelId="{48D8E2BC-F734-4F27-8261-ECBB5A6BA752}" type="sibTrans" cxnId="{BE0CB476-22EF-4E51-8314-29C0BAC606AB}">
      <dgm:prSet/>
      <dgm:spPr/>
      <dgm:t>
        <a:bodyPr/>
        <a:lstStyle/>
        <a:p>
          <a:endParaRPr lang="en-US" sz="800"/>
        </a:p>
      </dgm:t>
    </dgm:pt>
    <dgm:pt modelId="{846BAEBC-C157-4342-AA0E-21C6689AE1C6}">
      <dgm:prSet phldrT="[Text]" custT="1"/>
      <dgm:spPr/>
      <dgm:t>
        <a:bodyPr/>
        <a:lstStyle/>
        <a:p>
          <a:r>
            <a:rPr lang="el-GR" sz="800"/>
            <a:t>Υπολογισμός ισοδύναμου επιχορήγησης</a:t>
          </a:r>
          <a:endParaRPr lang="en-US" sz="800"/>
        </a:p>
      </dgm:t>
    </dgm:pt>
    <dgm:pt modelId="{8FD565CD-A023-406B-B739-FEDC4EB30635}" type="parTrans" cxnId="{A4D26847-7A7D-43F1-B845-17679501BD84}">
      <dgm:prSet/>
      <dgm:spPr/>
      <dgm:t>
        <a:bodyPr/>
        <a:lstStyle/>
        <a:p>
          <a:endParaRPr lang="en-US" sz="800"/>
        </a:p>
      </dgm:t>
    </dgm:pt>
    <dgm:pt modelId="{19703E38-4CB6-43BE-8286-294A9D849813}" type="sibTrans" cxnId="{A4D26847-7A7D-43F1-B845-17679501BD84}">
      <dgm:prSet/>
      <dgm:spPr/>
      <dgm:t>
        <a:bodyPr/>
        <a:lstStyle/>
        <a:p>
          <a:endParaRPr lang="en-US" sz="800"/>
        </a:p>
      </dgm:t>
    </dgm:pt>
    <dgm:pt modelId="{04537AFB-9C26-4D87-830D-E062A33F4C6C}">
      <dgm:prSet phldrT="[Text]" custT="1"/>
      <dgm:spPr/>
      <dgm:t>
        <a:bodyPr/>
        <a:lstStyle/>
        <a:p>
          <a:r>
            <a:rPr lang="el-GR" sz="800"/>
            <a:t>Αξιολόγηση ύπαρξης επιλέξιμου επενδυτικού σχεδίου</a:t>
          </a:r>
          <a:endParaRPr lang="en-US" sz="800"/>
        </a:p>
      </dgm:t>
    </dgm:pt>
    <dgm:pt modelId="{A6003966-F55F-4F72-91F0-1545EA58ED7F}" type="parTrans" cxnId="{DF16342C-3E5C-4D4E-B30B-9657C1A8E7BC}">
      <dgm:prSet/>
      <dgm:spPr/>
      <dgm:t>
        <a:bodyPr/>
        <a:lstStyle/>
        <a:p>
          <a:endParaRPr lang="en-US" sz="800"/>
        </a:p>
      </dgm:t>
    </dgm:pt>
    <dgm:pt modelId="{00760592-F70B-44DA-9A69-77D1E9AFA71E}" type="sibTrans" cxnId="{DF16342C-3E5C-4D4E-B30B-9657C1A8E7BC}">
      <dgm:prSet/>
      <dgm:spPr/>
      <dgm:t>
        <a:bodyPr/>
        <a:lstStyle/>
        <a:p>
          <a:endParaRPr lang="en-US" sz="800"/>
        </a:p>
      </dgm:t>
    </dgm:pt>
    <dgm:pt modelId="{C942D120-615C-4E7C-BB3C-6B9A52714F82}">
      <dgm:prSet phldrT="[Text]" custT="1"/>
      <dgm:spPr/>
      <dgm:t>
        <a:bodyPr/>
        <a:lstStyle/>
        <a:p>
          <a:r>
            <a:rPr lang="el-GR" sz="800"/>
            <a:t>Επιλέξιμες δαπάνες</a:t>
          </a:r>
          <a:endParaRPr lang="en-US" sz="800"/>
        </a:p>
      </dgm:t>
    </dgm:pt>
    <dgm:pt modelId="{DA57B198-8283-40D3-AC91-E790B4F01908}" type="parTrans" cxnId="{D21B10E6-31E2-47A1-9148-41AD537CC6B2}">
      <dgm:prSet/>
      <dgm:spPr/>
      <dgm:t>
        <a:bodyPr/>
        <a:lstStyle/>
        <a:p>
          <a:endParaRPr lang="en-US"/>
        </a:p>
      </dgm:t>
    </dgm:pt>
    <dgm:pt modelId="{C38AA2AD-7B6D-42BD-B625-3036FD6A6029}" type="sibTrans" cxnId="{D21B10E6-31E2-47A1-9148-41AD537CC6B2}">
      <dgm:prSet/>
      <dgm:spPr/>
      <dgm:t>
        <a:bodyPr/>
        <a:lstStyle/>
        <a:p>
          <a:endParaRPr lang="en-US"/>
        </a:p>
      </dgm:t>
    </dgm:pt>
    <dgm:pt modelId="{AD7D45D2-F444-481A-AFB4-AC9B95AA9D2B}">
      <dgm:prSet phldrT="[Text]" custT="1"/>
      <dgm:spPr/>
      <dgm:t>
        <a:bodyPr/>
        <a:lstStyle/>
        <a:p>
          <a:r>
            <a:rPr lang="el-GR" sz="800"/>
            <a:t>Κανονισμός </a:t>
          </a:r>
          <a:r>
            <a:rPr lang="en-US" sz="800"/>
            <a:t>De Minimis 2013/1407</a:t>
          </a:r>
        </a:p>
      </dgm:t>
    </dgm:pt>
    <dgm:pt modelId="{B49B4384-5B13-4920-B980-C1BFDFB4219C}" type="parTrans" cxnId="{465D2734-6D19-40D8-ACDD-18CACB384D19}">
      <dgm:prSet/>
      <dgm:spPr/>
      <dgm:t>
        <a:bodyPr/>
        <a:lstStyle/>
        <a:p>
          <a:endParaRPr lang="en-US"/>
        </a:p>
      </dgm:t>
    </dgm:pt>
    <dgm:pt modelId="{2CC44EDA-F088-4E92-AEA2-C5983D768DB6}" type="sibTrans" cxnId="{465D2734-6D19-40D8-ACDD-18CACB384D19}">
      <dgm:prSet/>
      <dgm:spPr/>
      <dgm:t>
        <a:bodyPr/>
        <a:lstStyle/>
        <a:p>
          <a:endParaRPr lang="en-US"/>
        </a:p>
      </dgm:t>
    </dgm:pt>
    <dgm:pt modelId="{D607F4C3-3218-4D50-89D5-D2CF70BDCB2D}" type="pres">
      <dgm:prSet presAssocID="{5595384B-0238-4D3A-9810-2A2584D6BCD0}" presName="Name0" presStyleCnt="0">
        <dgm:presLayoutVars>
          <dgm:chMax val="5"/>
          <dgm:chPref val="5"/>
          <dgm:dir/>
          <dgm:animLvl val="lvl"/>
        </dgm:presLayoutVars>
      </dgm:prSet>
      <dgm:spPr/>
    </dgm:pt>
    <dgm:pt modelId="{5043590B-CA8A-4D3F-9F4A-B9C3503BF64C}" type="pres">
      <dgm:prSet presAssocID="{04537AFB-9C26-4D87-830D-E062A33F4C6C}" presName="parentText1" presStyleLbl="node1" presStyleIdx="0" presStyleCnt="5">
        <dgm:presLayoutVars>
          <dgm:chMax/>
          <dgm:chPref val="3"/>
          <dgm:bulletEnabled val="1"/>
        </dgm:presLayoutVars>
      </dgm:prSet>
      <dgm:spPr/>
    </dgm:pt>
    <dgm:pt modelId="{DBF4D98D-F2A0-427E-8C71-E8D6B67A734D}" type="pres">
      <dgm:prSet presAssocID="{04537AFB-9C26-4D87-830D-E062A33F4C6C}" presName="childText1" presStyleLbl="solidAlignAcc1" presStyleIdx="0" presStyleCnt="5">
        <dgm:presLayoutVars>
          <dgm:chMax val="0"/>
          <dgm:chPref val="0"/>
          <dgm:bulletEnabled val="1"/>
        </dgm:presLayoutVars>
      </dgm:prSet>
      <dgm:spPr/>
    </dgm:pt>
    <dgm:pt modelId="{0217785F-C4CE-4EE6-81D0-4D6C847A83B8}" type="pres">
      <dgm:prSet presAssocID="{28302175-B6E4-4247-8313-E5317F06637F}" presName="parentText2" presStyleLbl="node1" presStyleIdx="1" presStyleCnt="5">
        <dgm:presLayoutVars>
          <dgm:chMax/>
          <dgm:chPref val="3"/>
          <dgm:bulletEnabled val="1"/>
        </dgm:presLayoutVars>
      </dgm:prSet>
      <dgm:spPr/>
    </dgm:pt>
    <dgm:pt modelId="{EE29C159-B8B3-40E9-9FB6-76AAF5A78D3D}" type="pres">
      <dgm:prSet presAssocID="{28302175-B6E4-4247-8313-E5317F06637F}" presName="childText2" presStyleLbl="solidAlignAcc1" presStyleIdx="1" presStyleCnt="5">
        <dgm:presLayoutVars>
          <dgm:chMax val="0"/>
          <dgm:chPref val="0"/>
          <dgm:bulletEnabled val="1"/>
        </dgm:presLayoutVars>
      </dgm:prSet>
      <dgm:spPr/>
    </dgm:pt>
    <dgm:pt modelId="{450D29DF-D605-4478-82CA-2466B84371E6}" type="pres">
      <dgm:prSet presAssocID="{374C7649-61F4-4903-A494-11EC660753F5}" presName="parentText3" presStyleLbl="node1" presStyleIdx="2" presStyleCnt="5">
        <dgm:presLayoutVars>
          <dgm:chMax/>
          <dgm:chPref val="3"/>
          <dgm:bulletEnabled val="1"/>
        </dgm:presLayoutVars>
      </dgm:prSet>
      <dgm:spPr/>
    </dgm:pt>
    <dgm:pt modelId="{51EF3A56-C86A-4B25-BA1D-91B995FD0E20}" type="pres">
      <dgm:prSet presAssocID="{374C7649-61F4-4903-A494-11EC660753F5}" presName="childText3" presStyleLbl="solidAlignAcc1" presStyleIdx="2" presStyleCnt="5">
        <dgm:presLayoutVars>
          <dgm:chMax val="0"/>
          <dgm:chPref val="0"/>
          <dgm:bulletEnabled val="1"/>
        </dgm:presLayoutVars>
      </dgm:prSet>
      <dgm:spPr/>
    </dgm:pt>
    <dgm:pt modelId="{A511DB6B-0C4C-4A37-8038-55B7D930E767}" type="pres">
      <dgm:prSet presAssocID="{8D5629B6-849A-4CC9-BB32-89E9A7E63CA6}" presName="parentText4" presStyleLbl="node1" presStyleIdx="3" presStyleCnt="5">
        <dgm:presLayoutVars>
          <dgm:chMax/>
          <dgm:chPref val="3"/>
          <dgm:bulletEnabled val="1"/>
        </dgm:presLayoutVars>
      </dgm:prSet>
      <dgm:spPr/>
    </dgm:pt>
    <dgm:pt modelId="{5EE33408-49AB-4138-9B20-C663B15001EF}" type="pres">
      <dgm:prSet presAssocID="{8D5629B6-849A-4CC9-BB32-89E9A7E63CA6}" presName="childText4" presStyleLbl="solidAlignAcc1" presStyleIdx="3" presStyleCnt="5">
        <dgm:presLayoutVars>
          <dgm:chMax val="0"/>
          <dgm:chPref val="0"/>
          <dgm:bulletEnabled val="1"/>
        </dgm:presLayoutVars>
      </dgm:prSet>
      <dgm:spPr/>
    </dgm:pt>
    <dgm:pt modelId="{811AECDA-3BA3-4EBB-90E1-5F3CBA22A1EF}" type="pres">
      <dgm:prSet presAssocID="{47D9493F-20DE-4782-AF90-58BEBF60E565}" presName="parentText5" presStyleLbl="node1" presStyleIdx="4" presStyleCnt="5">
        <dgm:presLayoutVars>
          <dgm:chMax/>
          <dgm:chPref val="3"/>
          <dgm:bulletEnabled val="1"/>
        </dgm:presLayoutVars>
      </dgm:prSet>
      <dgm:spPr/>
    </dgm:pt>
    <dgm:pt modelId="{5F239BA3-B72D-40B4-AAF5-F124E9377B0A}" type="pres">
      <dgm:prSet presAssocID="{47D9493F-20DE-4782-AF90-58BEBF60E565}" presName="childText5" presStyleLbl="solidAlignAcc1" presStyleIdx="4" presStyleCnt="5">
        <dgm:presLayoutVars>
          <dgm:chMax val="0"/>
          <dgm:chPref val="0"/>
          <dgm:bulletEnabled val="1"/>
        </dgm:presLayoutVars>
      </dgm:prSet>
      <dgm:spPr/>
    </dgm:pt>
  </dgm:ptLst>
  <dgm:cxnLst>
    <dgm:cxn modelId="{0E283100-A5F7-4119-B403-8B7444F1BFF5}" type="presOf" srcId="{3B2E91FD-6D80-4892-952B-B1AEB9BD2EDA}" destId="{51EF3A56-C86A-4B25-BA1D-91B995FD0E20}" srcOrd="0" destOrd="2" presId="urn:microsoft.com/office/officeart/2009/3/layout/IncreasingArrowsProcess"/>
    <dgm:cxn modelId="{DDA29106-FDDC-47D4-8911-CBED91A1E498}" type="presOf" srcId="{8D5629B6-849A-4CC9-BB32-89E9A7E63CA6}" destId="{A511DB6B-0C4C-4A37-8038-55B7D930E767}" srcOrd="0" destOrd="0" presId="urn:microsoft.com/office/officeart/2009/3/layout/IncreasingArrowsProcess"/>
    <dgm:cxn modelId="{7ED00108-DBB9-49B8-B2E8-CF1FCCB49BB9}" srcId="{28302175-B6E4-4247-8313-E5317F06637F}" destId="{1C4763EC-4237-40A1-BB4E-ED8E46314BF8}" srcOrd="0" destOrd="0" parTransId="{C476001F-4FD2-41FE-B4EB-5224C06A1B8E}" sibTransId="{AB61D190-19CD-483E-AD86-E421726834C7}"/>
    <dgm:cxn modelId="{E4CCF10B-A1A1-4CEA-9E6F-2BBF815FD34A}" type="presOf" srcId="{1C4763EC-4237-40A1-BB4E-ED8E46314BF8}" destId="{EE29C159-B8B3-40E9-9FB6-76AAF5A78D3D}" srcOrd="0" destOrd="0" presId="urn:microsoft.com/office/officeart/2009/3/layout/IncreasingArrowsProcess"/>
    <dgm:cxn modelId="{E44F5914-4D07-4CDA-BB84-13A4DCFC3C24}" srcId="{374C7649-61F4-4903-A494-11EC660753F5}" destId="{F4AF1C9A-3AF7-48F8-9DB9-06C4FA38755B}" srcOrd="1" destOrd="0" parTransId="{3A6E122A-D5D3-414E-A773-FBDDFEF519EA}" sibTransId="{228C3D26-14DC-4573-949A-26A77BF99E82}"/>
    <dgm:cxn modelId="{79EEBD1D-7D7A-40B5-BF97-4A7448BFD736}" type="presOf" srcId="{AD7D45D2-F444-481A-AFB4-AC9B95AA9D2B}" destId="{5F239BA3-B72D-40B4-AAF5-F124E9377B0A}" srcOrd="0" destOrd="1" presId="urn:microsoft.com/office/officeart/2009/3/layout/IncreasingArrowsProcess"/>
    <dgm:cxn modelId="{D726401E-1AEC-4842-8CC9-C927D5187B54}" srcId="{374C7649-61F4-4903-A494-11EC660753F5}" destId="{A0117001-06F4-4323-ACEB-D13E36CA265D}" srcOrd="4" destOrd="0" parTransId="{C768AA61-FE30-4737-8C56-D66FD9AC0587}" sibTransId="{39B0DA5D-29CD-4CA9-82B2-05FB011DD6FA}"/>
    <dgm:cxn modelId="{B223D61F-1B59-4DC3-B201-9A566296577B}" type="presOf" srcId="{A515A19D-A661-4C8C-BB87-806C8B70E90C}" destId="{5F239BA3-B72D-40B4-AAF5-F124E9377B0A}" srcOrd="0" destOrd="2" presId="urn:microsoft.com/office/officeart/2009/3/layout/IncreasingArrowsProcess"/>
    <dgm:cxn modelId="{A9D80426-7FA2-4D77-80C0-AB8A234F6BF6}" srcId="{374C7649-61F4-4903-A494-11EC660753F5}" destId="{D58E06B5-43EA-4C92-A486-B5F66078FFC8}" srcOrd="0" destOrd="0" parTransId="{CD84C4EA-9B43-45FE-924A-DE4C293AE40B}" sibTransId="{C027E3D9-5E95-4945-8119-198CB962878C}"/>
    <dgm:cxn modelId="{B9868928-3F4C-4830-BA8D-F9576320D93B}" type="presOf" srcId="{C942D120-615C-4E7C-BB3C-6B9A52714F82}" destId="{DBF4D98D-F2A0-427E-8C71-E8D6B67A734D}" srcOrd="0" destOrd="0" presId="urn:microsoft.com/office/officeart/2009/3/layout/IncreasingArrowsProcess"/>
    <dgm:cxn modelId="{DF16342C-3E5C-4D4E-B30B-9657C1A8E7BC}" srcId="{5595384B-0238-4D3A-9810-2A2584D6BCD0}" destId="{04537AFB-9C26-4D87-830D-E062A33F4C6C}" srcOrd="0" destOrd="0" parTransId="{A6003966-F55F-4F72-91F0-1545EA58ED7F}" sibTransId="{00760592-F70B-44DA-9A69-77D1E9AFA71E}"/>
    <dgm:cxn modelId="{D030C52D-F104-4352-9E10-AA0ED107DF9D}" type="presOf" srcId="{A0117001-06F4-4323-ACEB-D13E36CA265D}" destId="{51EF3A56-C86A-4B25-BA1D-91B995FD0E20}" srcOrd="0" destOrd="4" presId="urn:microsoft.com/office/officeart/2009/3/layout/IncreasingArrowsProcess"/>
    <dgm:cxn modelId="{465D2734-6D19-40D8-ACDD-18CACB384D19}" srcId="{47D9493F-20DE-4782-AF90-58BEBF60E565}" destId="{AD7D45D2-F444-481A-AFB4-AC9B95AA9D2B}" srcOrd="1" destOrd="0" parTransId="{B49B4384-5B13-4920-B980-C1BFDFB4219C}" sibTransId="{2CC44EDA-F088-4E92-AEA2-C5983D768DB6}"/>
    <dgm:cxn modelId="{72B3233E-84DA-40EF-A3F8-57833D67779B}" type="presOf" srcId="{28302175-B6E4-4247-8313-E5317F06637F}" destId="{0217785F-C4CE-4EE6-81D0-4D6C847A83B8}" srcOrd="0" destOrd="0" presId="urn:microsoft.com/office/officeart/2009/3/layout/IncreasingArrowsProcess"/>
    <dgm:cxn modelId="{2D5B7A3F-AF72-4538-9795-C9441F09E05C}" type="presOf" srcId="{04537AFB-9C26-4D87-830D-E062A33F4C6C}" destId="{5043590B-CA8A-4D3F-9F4A-B9C3503BF64C}" srcOrd="0" destOrd="0" presId="urn:microsoft.com/office/officeart/2009/3/layout/IncreasingArrowsProcess"/>
    <dgm:cxn modelId="{A4D26847-7A7D-43F1-B845-17679501BD84}" srcId="{47D9493F-20DE-4782-AF90-58BEBF60E565}" destId="{846BAEBC-C157-4342-AA0E-21C6689AE1C6}" srcOrd="0" destOrd="0" parTransId="{8FD565CD-A023-406B-B739-FEDC4EB30635}" sibTransId="{19703E38-4CB6-43BE-8286-294A9D849813}"/>
    <dgm:cxn modelId="{A47A5368-C8A4-4D49-AED2-C3BC0068B72B}" type="presOf" srcId="{BDDEC669-2D2B-4030-90A0-80A92ECF818E}" destId="{51EF3A56-C86A-4B25-BA1D-91B995FD0E20}" srcOrd="0" destOrd="3" presId="urn:microsoft.com/office/officeart/2009/3/layout/IncreasingArrowsProcess"/>
    <dgm:cxn modelId="{DFE76F4F-69B0-4AEA-8D1B-FD51ECDB4D61}" type="presOf" srcId="{374C7649-61F4-4903-A494-11EC660753F5}" destId="{450D29DF-D605-4478-82CA-2466B84371E6}" srcOrd="0" destOrd="0" presId="urn:microsoft.com/office/officeart/2009/3/layout/IncreasingArrowsProcess"/>
    <dgm:cxn modelId="{73EEA471-D08A-4BD1-AAAD-6BBFD131CB81}" type="presOf" srcId="{5595384B-0238-4D3A-9810-2A2584D6BCD0}" destId="{D607F4C3-3218-4D50-89D5-D2CF70BDCB2D}" srcOrd="0" destOrd="0" presId="urn:microsoft.com/office/officeart/2009/3/layout/IncreasingArrowsProcess"/>
    <dgm:cxn modelId="{BE0CB476-22EF-4E51-8314-29C0BAC606AB}" srcId="{47D9493F-20DE-4782-AF90-58BEBF60E565}" destId="{A515A19D-A661-4C8C-BB87-806C8B70E90C}" srcOrd="2" destOrd="0" parTransId="{467074F4-268C-49B0-8DD0-232636AD5EB8}" sibTransId="{48D8E2BC-F734-4F27-8261-ECBB5A6BA752}"/>
    <dgm:cxn modelId="{3756CA76-71B4-4514-ADD1-D45D24A0A447}" srcId="{374C7649-61F4-4903-A494-11EC660753F5}" destId="{BDDEC669-2D2B-4030-90A0-80A92ECF818E}" srcOrd="3" destOrd="0" parTransId="{7A6B301A-9A48-4797-9B4E-D784C66A499F}" sibTransId="{565DE19E-6806-4FE5-B669-DDF0DAE3C2B0}"/>
    <dgm:cxn modelId="{D851EE8E-B7D9-49C3-B75C-BC3EBD325258}" type="presOf" srcId="{D58E06B5-43EA-4C92-A486-B5F66078FFC8}" destId="{51EF3A56-C86A-4B25-BA1D-91B995FD0E20}" srcOrd="0" destOrd="0" presId="urn:microsoft.com/office/officeart/2009/3/layout/IncreasingArrowsProcess"/>
    <dgm:cxn modelId="{1E170092-017E-401F-B650-EBC09E5E2CE0}" type="presOf" srcId="{4455CD95-FE07-4A65-9DCE-40DDA7CA77A7}" destId="{5EE33408-49AB-4138-9B20-C663B15001EF}" srcOrd="0" destOrd="0" presId="urn:microsoft.com/office/officeart/2009/3/layout/IncreasingArrowsProcess"/>
    <dgm:cxn modelId="{1F531A9C-80A2-4E10-A141-4267632DC294}" type="presOf" srcId="{F4AF1C9A-3AF7-48F8-9DB9-06C4FA38755B}" destId="{51EF3A56-C86A-4B25-BA1D-91B995FD0E20}" srcOrd="0" destOrd="1" presId="urn:microsoft.com/office/officeart/2009/3/layout/IncreasingArrowsProcess"/>
    <dgm:cxn modelId="{366F209C-29AF-49EB-AA57-240B592AC55D}" srcId="{8D5629B6-849A-4CC9-BB32-89E9A7E63CA6}" destId="{4455CD95-FE07-4A65-9DCE-40DDA7CA77A7}" srcOrd="0" destOrd="0" parTransId="{062E5FED-EC0D-4281-B4B5-BE22EBAE1855}" sibTransId="{F11B8A3F-CB0C-42CB-B1E2-25F29D7E25EE}"/>
    <dgm:cxn modelId="{F22AC2B5-7C93-43C4-85C2-516B1711BC95}" srcId="{374C7649-61F4-4903-A494-11EC660753F5}" destId="{3B2E91FD-6D80-4892-952B-B1AEB9BD2EDA}" srcOrd="2" destOrd="0" parTransId="{1B56AA38-1CE1-49C7-99FF-DFFD3B58E85E}" sibTransId="{D3D20411-2BC8-4835-AC25-FBE1D98A84F0}"/>
    <dgm:cxn modelId="{7EAA69BE-26BD-4E4A-91CC-BC91506FC506}" type="presOf" srcId="{47D9493F-20DE-4782-AF90-58BEBF60E565}" destId="{811AECDA-3BA3-4EBB-90E1-5F3CBA22A1EF}" srcOrd="0" destOrd="0" presId="urn:microsoft.com/office/officeart/2009/3/layout/IncreasingArrowsProcess"/>
    <dgm:cxn modelId="{CA7167C0-B1C7-4420-91DC-DD99A78E6C1D}" srcId="{5595384B-0238-4D3A-9810-2A2584D6BCD0}" destId="{28302175-B6E4-4247-8313-E5317F06637F}" srcOrd="1" destOrd="0" parTransId="{66429737-7168-490D-8689-C9340AE7670F}" sibTransId="{9260AC9B-91E1-4B17-BB51-243FC4F156ED}"/>
    <dgm:cxn modelId="{10E67DC0-93A9-4EB3-9CDE-BA1E3383126D}" srcId="{5595384B-0238-4D3A-9810-2A2584D6BCD0}" destId="{8D5629B6-849A-4CC9-BB32-89E9A7E63CA6}" srcOrd="3" destOrd="0" parTransId="{BF7A3D83-796D-4678-9943-59356EBA2156}" sibTransId="{B6322F79-51E9-4FB8-9C24-45BBBECA8940}"/>
    <dgm:cxn modelId="{0B355BC5-995E-458E-BCF7-B5B09227C17E}" srcId="{8D5629B6-849A-4CC9-BB32-89E9A7E63CA6}" destId="{9DE7CCCD-6DD5-4A1E-B291-CE8514E6D558}" srcOrd="1" destOrd="0" parTransId="{43D7543F-37C2-4867-AC0A-2EE3545349B1}" sibTransId="{CF365125-2105-4640-B395-86428A37F7E5}"/>
    <dgm:cxn modelId="{07E307D6-ADB5-4825-8A07-7C040B856509}" srcId="{5595384B-0238-4D3A-9810-2A2584D6BCD0}" destId="{374C7649-61F4-4903-A494-11EC660753F5}" srcOrd="2" destOrd="0" parTransId="{6BF258D4-87D3-43D2-B4A5-8E219203A7AC}" sibTransId="{8645240E-C1F2-469E-A5E1-1C202BEFD704}"/>
    <dgm:cxn modelId="{D21B10E6-31E2-47A1-9148-41AD537CC6B2}" srcId="{04537AFB-9C26-4D87-830D-E062A33F4C6C}" destId="{C942D120-615C-4E7C-BB3C-6B9A52714F82}" srcOrd="0" destOrd="0" parTransId="{DA57B198-8283-40D3-AC91-E790B4F01908}" sibTransId="{C38AA2AD-7B6D-42BD-B625-3036FD6A6029}"/>
    <dgm:cxn modelId="{C7109EEA-2E36-4CD1-B73B-C6BDE49D53D9}" type="presOf" srcId="{846BAEBC-C157-4342-AA0E-21C6689AE1C6}" destId="{5F239BA3-B72D-40B4-AAF5-F124E9377B0A}" srcOrd="0" destOrd="0" presId="urn:microsoft.com/office/officeart/2009/3/layout/IncreasingArrowsProcess"/>
    <dgm:cxn modelId="{3344CBF1-7362-4226-9ABE-5479E6103C06}" srcId="{5595384B-0238-4D3A-9810-2A2584D6BCD0}" destId="{47D9493F-20DE-4782-AF90-58BEBF60E565}" srcOrd="4" destOrd="0" parTransId="{EB7FB6E8-5326-49E4-B695-0A8221D9EE07}" sibTransId="{C70CDEED-1554-4D34-9CD9-191565F1A48F}"/>
    <dgm:cxn modelId="{3AD67CF6-4BCE-4C9C-B289-EB7115C074DF}" type="presOf" srcId="{9DE7CCCD-6DD5-4A1E-B291-CE8514E6D558}" destId="{5EE33408-49AB-4138-9B20-C663B15001EF}" srcOrd="0" destOrd="1" presId="urn:microsoft.com/office/officeart/2009/3/layout/IncreasingArrowsProcess"/>
    <dgm:cxn modelId="{05B1622C-20BA-4E98-AEDC-6AE49FE37F76}" type="presParOf" srcId="{D607F4C3-3218-4D50-89D5-D2CF70BDCB2D}" destId="{5043590B-CA8A-4D3F-9F4A-B9C3503BF64C}" srcOrd="0" destOrd="0" presId="urn:microsoft.com/office/officeart/2009/3/layout/IncreasingArrowsProcess"/>
    <dgm:cxn modelId="{6E587874-A5BF-499D-862D-1157D6A447E4}" type="presParOf" srcId="{D607F4C3-3218-4D50-89D5-D2CF70BDCB2D}" destId="{DBF4D98D-F2A0-427E-8C71-E8D6B67A734D}" srcOrd="1" destOrd="0" presId="urn:microsoft.com/office/officeart/2009/3/layout/IncreasingArrowsProcess"/>
    <dgm:cxn modelId="{275CE03D-DDE0-40D1-9E2B-6B4D681B6467}" type="presParOf" srcId="{D607F4C3-3218-4D50-89D5-D2CF70BDCB2D}" destId="{0217785F-C4CE-4EE6-81D0-4D6C847A83B8}" srcOrd="2" destOrd="0" presId="urn:microsoft.com/office/officeart/2009/3/layout/IncreasingArrowsProcess"/>
    <dgm:cxn modelId="{C8A021C9-1B56-41EA-908A-B33D7F8CBEC6}" type="presParOf" srcId="{D607F4C3-3218-4D50-89D5-D2CF70BDCB2D}" destId="{EE29C159-B8B3-40E9-9FB6-76AAF5A78D3D}" srcOrd="3" destOrd="0" presId="urn:microsoft.com/office/officeart/2009/3/layout/IncreasingArrowsProcess"/>
    <dgm:cxn modelId="{7FA7EA37-9AD4-42F4-B1B1-7C45247350E4}" type="presParOf" srcId="{D607F4C3-3218-4D50-89D5-D2CF70BDCB2D}" destId="{450D29DF-D605-4478-82CA-2466B84371E6}" srcOrd="4" destOrd="0" presId="urn:microsoft.com/office/officeart/2009/3/layout/IncreasingArrowsProcess"/>
    <dgm:cxn modelId="{2C17519A-23AA-41E9-9215-D697F4E78340}" type="presParOf" srcId="{D607F4C3-3218-4D50-89D5-D2CF70BDCB2D}" destId="{51EF3A56-C86A-4B25-BA1D-91B995FD0E20}" srcOrd="5" destOrd="0" presId="urn:microsoft.com/office/officeart/2009/3/layout/IncreasingArrowsProcess"/>
    <dgm:cxn modelId="{6B57B1B5-9A41-47EF-A04E-7D1E025C0417}" type="presParOf" srcId="{D607F4C3-3218-4D50-89D5-D2CF70BDCB2D}" destId="{A511DB6B-0C4C-4A37-8038-55B7D930E767}" srcOrd="6" destOrd="0" presId="urn:microsoft.com/office/officeart/2009/3/layout/IncreasingArrowsProcess"/>
    <dgm:cxn modelId="{65D213BF-9EB1-4B4F-9E1E-7B827C2D9ABF}" type="presParOf" srcId="{D607F4C3-3218-4D50-89D5-D2CF70BDCB2D}" destId="{5EE33408-49AB-4138-9B20-C663B15001EF}" srcOrd="7" destOrd="0" presId="urn:microsoft.com/office/officeart/2009/3/layout/IncreasingArrowsProcess"/>
    <dgm:cxn modelId="{2728E885-5C2A-442D-91B4-B3B9A8FEE473}" type="presParOf" srcId="{D607F4C3-3218-4D50-89D5-D2CF70BDCB2D}" destId="{811AECDA-3BA3-4EBB-90E1-5F3CBA22A1EF}" srcOrd="8" destOrd="0" presId="urn:microsoft.com/office/officeart/2009/3/layout/IncreasingArrowsProcess"/>
    <dgm:cxn modelId="{2261DB98-D0DE-40C5-8920-FF301408DE1A}" type="presParOf" srcId="{D607F4C3-3218-4D50-89D5-D2CF70BDCB2D}" destId="{5F239BA3-B72D-40B4-AAF5-F124E9377B0A}" srcOrd="9" destOrd="0" presId="urn:microsoft.com/office/officeart/2009/3/layout/IncreasingArrowsProcess"/>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043590B-CA8A-4D3F-9F4A-B9C3503BF64C}">
      <dsp:nvSpPr>
        <dsp:cNvPr id="0" name=""/>
        <dsp:cNvSpPr/>
      </dsp:nvSpPr>
      <dsp:spPr>
        <a:xfrm>
          <a:off x="56672" y="4474"/>
          <a:ext cx="5152074" cy="749256"/>
        </a:xfrm>
        <a:prstGeom prst="rightArrow">
          <a:avLst>
            <a:gd name="adj1" fmla="val 50000"/>
            <a:gd name="adj2" fmla="val 5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254000" bIns="118944" numCol="1" spcCol="1270" anchor="ctr" anchorCtr="0">
          <a:noAutofit/>
        </a:bodyPr>
        <a:lstStyle/>
        <a:p>
          <a:pPr marL="0" lvl="0" indent="0" algn="l" defTabSz="355600">
            <a:lnSpc>
              <a:spcPct val="90000"/>
            </a:lnSpc>
            <a:spcBef>
              <a:spcPct val="0"/>
            </a:spcBef>
            <a:spcAft>
              <a:spcPct val="35000"/>
            </a:spcAft>
            <a:buNone/>
          </a:pPr>
          <a:r>
            <a:rPr lang="el-GR" sz="800" kern="1200"/>
            <a:t>Αξιολόγηση ύπαρξης επιλέξιμου επενδυτικού σχεδίου</a:t>
          </a:r>
          <a:endParaRPr lang="en-US" sz="800" kern="1200"/>
        </a:p>
      </dsp:txBody>
      <dsp:txXfrm>
        <a:off x="56672" y="191788"/>
        <a:ext cx="4964760" cy="374628"/>
      </dsp:txXfrm>
    </dsp:sp>
    <dsp:sp modelId="{DBF4D98D-F2A0-427E-8C71-E8D6B67A734D}">
      <dsp:nvSpPr>
        <dsp:cNvPr id="0" name=""/>
        <dsp:cNvSpPr/>
      </dsp:nvSpPr>
      <dsp:spPr>
        <a:xfrm>
          <a:off x="56672" y="581291"/>
          <a:ext cx="952206" cy="1375754"/>
        </a:xfrm>
        <a:prstGeom prst="rect">
          <a:avLst/>
        </a:prstGeom>
        <a:solidFill>
          <a:schemeClr val="l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t" anchorCtr="0">
          <a:noAutofit/>
        </a:bodyPr>
        <a:lstStyle/>
        <a:p>
          <a:pPr marL="0" lvl="0" indent="0" algn="l" defTabSz="355600">
            <a:lnSpc>
              <a:spcPct val="90000"/>
            </a:lnSpc>
            <a:spcBef>
              <a:spcPct val="0"/>
            </a:spcBef>
            <a:spcAft>
              <a:spcPct val="35000"/>
            </a:spcAft>
            <a:buNone/>
          </a:pPr>
          <a:r>
            <a:rPr lang="el-GR" sz="800" kern="1200"/>
            <a:t>Επιλέξιμες δαπάνες</a:t>
          </a:r>
          <a:endParaRPr lang="en-US" sz="800" kern="1200"/>
        </a:p>
      </dsp:txBody>
      <dsp:txXfrm>
        <a:off x="56672" y="581291"/>
        <a:ext cx="952206" cy="1375754"/>
      </dsp:txXfrm>
    </dsp:sp>
    <dsp:sp modelId="{0217785F-C4CE-4EE6-81D0-4D6C847A83B8}">
      <dsp:nvSpPr>
        <dsp:cNvPr id="0" name=""/>
        <dsp:cNvSpPr/>
      </dsp:nvSpPr>
      <dsp:spPr>
        <a:xfrm>
          <a:off x="1008776" y="254322"/>
          <a:ext cx="4199971" cy="749256"/>
        </a:xfrm>
        <a:prstGeom prst="rightArrow">
          <a:avLst>
            <a:gd name="adj1" fmla="val 50000"/>
            <a:gd name="adj2" fmla="val 5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254000" bIns="118944" numCol="1" spcCol="1270" anchor="ctr" anchorCtr="0">
          <a:noAutofit/>
        </a:bodyPr>
        <a:lstStyle/>
        <a:p>
          <a:pPr marL="0" lvl="0" indent="0" algn="l" defTabSz="355600">
            <a:lnSpc>
              <a:spcPct val="90000"/>
            </a:lnSpc>
            <a:spcBef>
              <a:spcPct val="0"/>
            </a:spcBef>
            <a:spcAft>
              <a:spcPct val="35000"/>
            </a:spcAft>
            <a:buNone/>
          </a:pPr>
          <a:r>
            <a:rPr lang="el-GR" sz="800" kern="1200"/>
            <a:t>Αξιολόγηση επιλεξιμότητας βε βάση τη συμμόρφωση με την</a:t>
          </a:r>
          <a:r>
            <a:rPr lang="en-US" sz="800" kern="1200"/>
            <a:t> </a:t>
          </a:r>
          <a:r>
            <a:rPr lang="el-GR" sz="800" kern="1200"/>
            <a:t>Αρχή μη πρόκλησης σημαντικής βλάβης </a:t>
          </a:r>
          <a:r>
            <a:rPr lang="en-US" sz="800" kern="1200"/>
            <a:t> (DNSH)</a:t>
          </a:r>
        </a:p>
      </dsp:txBody>
      <dsp:txXfrm>
        <a:off x="1008776" y="441636"/>
        <a:ext cx="4012657" cy="374628"/>
      </dsp:txXfrm>
    </dsp:sp>
    <dsp:sp modelId="{EE29C159-B8B3-40E9-9FB6-76AAF5A78D3D}">
      <dsp:nvSpPr>
        <dsp:cNvPr id="0" name=""/>
        <dsp:cNvSpPr/>
      </dsp:nvSpPr>
      <dsp:spPr>
        <a:xfrm>
          <a:off x="1008776" y="831140"/>
          <a:ext cx="952206" cy="1375754"/>
        </a:xfrm>
        <a:prstGeom prst="rect">
          <a:avLst/>
        </a:prstGeom>
        <a:solidFill>
          <a:schemeClr val="l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t" anchorCtr="0">
          <a:noAutofit/>
        </a:bodyPr>
        <a:lstStyle/>
        <a:p>
          <a:pPr marL="0" lvl="0" indent="0" algn="l" defTabSz="355600">
            <a:lnSpc>
              <a:spcPct val="90000"/>
            </a:lnSpc>
            <a:spcBef>
              <a:spcPct val="0"/>
            </a:spcBef>
            <a:spcAft>
              <a:spcPct val="35000"/>
            </a:spcAft>
            <a:buNone/>
          </a:pPr>
          <a:r>
            <a:rPr lang="el-GR" sz="800" kern="1200"/>
            <a:t>Κανονισμός θέσπισης πλαισίου για τη διευκόλυνση των βιώσιμων επενδύσεων</a:t>
          </a:r>
          <a:r>
            <a:rPr lang="en-US" sz="800" kern="1200"/>
            <a:t> (EE)2020/852 (EU Taxonomy)</a:t>
          </a:r>
        </a:p>
      </dsp:txBody>
      <dsp:txXfrm>
        <a:off x="1008776" y="831140"/>
        <a:ext cx="952206" cy="1375754"/>
      </dsp:txXfrm>
    </dsp:sp>
    <dsp:sp modelId="{450D29DF-D605-4478-82CA-2466B84371E6}">
      <dsp:nvSpPr>
        <dsp:cNvPr id="0" name=""/>
        <dsp:cNvSpPr/>
      </dsp:nvSpPr>
      <dsp:spPr>
        <a:xfrm>
          <a:off x="1960879" y="504171"/>
          <a:ext cx="3247867" cy="749256"/>
        </a:xfrm>
        <a:prstGeom prst="rightArrow">
          <a:avLst>
            <a:gd name="adj1" fmla="val 50000"/>
            <a:gd name="adj2" fmla="val 5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254000" bIns="118944" numCol="1" spcCol="1270" anchor="ctr" anchorCtr="0">
          <a:noAutofit/>
        </a:bodyPr>
        <a:lstStyle/>
        <a:p>
          <a:pPr marL="0" lvl="0" indent="0" algn="l" defTabSz="355600">
            <a:lnSpc>
              <a:spcPct val="90000"/>
            </a:lnSpc>
            <a:spcBef>
              <a:spcPct val="0"/>
            </a:spcBef>
            <a:spcAft>
              <a:spcPct val="35000"/>
            </a:spcAft>
            <a:buNone/>
          </a:pPr>
          <a:r>
            <a:rPr lang="el-GR" sz="800" kern="1200"/>
            <a:t>Αξιολόγηση επιλεξιμότητας με βάση τους στόχους του ΕΣΑΑ / καθορισμός του ύψους του δανείου ΤΑΑ</a:t>
          </a:r>
          <a:endParaRPr lang="en-US" sz="800" kern="1200"/>
        </a:p>
      </dsp:txBody>
      <dsp:txXfrm>
        <a:off x="1960879" y="691485"/>
        <a:ext cx="3060553" cy="374628"/>
      </dsp:txXfrm>
    </dsp:sp>
    <dsp:sp modelId="{51EF3A56-C86A-4B25-BA1D-91B995FD0E20}">
      <dsp:nvSpPr>
        <dsp:cNvPr id="0" name=""/>
        <dsp:cNvSpPr/>
      </dsp:nvSpPr>
      <dsp:spPr>
        <a:xfrm>
          <a:off x="1960879" y="1080988"/>
          <a:ext cx="952206" cy="1375754"/>
        </a:xfrm>
        <a:prstGeom prst="rect">
          <a:avLst/>
        </a:prstGeom>
        <a:solidFill>
          <a:schemeClr val="l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t" anchorCtr="0">
          <a:noAutofit/>
        </a:bodyPr>
        <a:lstStyle/>
        <a:p>
          <a:pPr marL="0" lvl="0" indent="0" algn="l" defTabSz="355600">
            <a:lnSpc>
              <a:spcPct val="90000"/>
            </a:lnSpc>
            <a:spcBef>
              <a:spcPct val="0"/>
            </a:spcBef>
            <a:spcAft>
              <a:spcPct val="35000"/>
            </a:spcAft>
            <a:buNone/>
          </a:pPr>
          <a:r>
            <a:rPr lang="el-GR" sz="800" kern="1200"/>
            <a:t>Πράσινη Μετάβαση</a:t>
          </a:r>
          <a:endParaRPr lang="en-US" sz="800" kern="1200"/>
        </a:p>
        <a:p>
          <a:pPr marL="0" lvl="0" indent="0" algn="l" defTabSz="355600">
            <a:lnSpc>
              <a:spcPct val="90000"/>
            </a:lnSpc>
            <a:spcBef>
              <a:spcPct val="0"/>
            </a:spcBef>
            <a:spcAft>
              <a:spcPct val="35000"/>
            </a:spcAft>
            <a:buNone/>
          </a:pPr>
          <a:r>
            <a:rPr lang="el-GR" sz="800" kern="1200"/>
            <a:t>Ψηφιακός Μετασχηματισμός</a:t>
          </a:r>
          <a:endParaRPr lang="en-US" sz="800" kern="1200"/>
        </a:p>
        <a:p>
          <a:pPr marL="0" lvl="0" indent="0" algn="l" defTabSz="355600">
            <a:lnSpc>
              <a:spcPct val="90000"/>
            </a:lnSpc>
            <a:spcBef>
              <a:spcPct val="0"/>
            </a:spcBef>
            <a:spcAft>
              <a:spcPct val="35000"/>
            </a:spcAft>
            <a:buNone/>
          </a:pPr>
          <a:r>
            <a:rPr lang="el-GR" sz="800" kern="1200"/>
            <a:t>Καινοτομία - Έρευνα &amp; Ανάπτυξη</a:t>
          </a:r>
          <a:endParaRPr lang="en-US" sz="800" kern="1200"/>
        </a:p>
        <a:p>
          <a:pPr marL="0" lvl="0" indent="0" algn="l" defTabSz="355600">
            <a:lnSpc>
              <a:spcPct val="90000"/>
            </a:lnSpc>
            <a:spcBef>
              <a:spcPct val="0"/>
            </a:spcBef>
            <a:spcAft>
              <a:spcPct val="35000"/>
            </a:spcAft>
            <a:buNone/>
          </a:pPr>
          <a:r>
            <a:rPr lang="el-GR" sz="800" kern="1200"/>
            <a:t>Ανάπτυξη Οικονομιών Κλίμακας</a:t>
          </a:r>
          <a:endParaRPr lang="en-US" sz="800" kern="1200"/>
        </a:p>
        <a:p>
          <a:pPr marL="0" lvl="0" indent="0" algn="l" defTabSz="355600">
            <a:lnSpc>
              <a:spcPct val="90000"/>
            </a:lnSpc>
            <a:spcBef>
              <a:spcPct val="0"/>
            </a:spcBef>
            <a:spcAft>
              <a:spcPct val="35000"/>
            </a:spcAft>
            <a:buNone/>
          </a:pPr>
          <a:r>
            <a:rPr lang="el-GR" sz="800" kern="1200"/>
            <a:t>Εξωστρέφεια</a:t>
          </a:r>
          <a:endParaRPr lang="en-US" sz="800" kern="1200"/>
        </a:p>
      </dsp:txBody>
      <dsp:txXfrm>
        <a:off x="1960879" y="1080988"/>
        <a:ext cx="952206" cy="1375754"/>
      </dsp:txXfrm>
    </dsp:sp>
    <dsp:sp modelId="{A511DB6B-0C4C-4A37-8038-55B7D930E767}">
      <dsp:nvSpPr>
        <dsp:cNvPr id="0" name=""/>
        <dsp:cNvSpPr/>
      </dsp:nvSpPr>
      <dsp:spPr>
        <a:xfrm>
          <a:off x="2913498" y="754019"/>
          <a:ext cx="2295249" cy="749256"/>
        </a:xfrm>
        <a:prstGeom prst="rightArrow">
          <a:avLst>
            <a:gd name="adj1" fmla="val 50000"/>
            <a:gd name="adj2" fmla="val 5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254000" bIns="118944" numCol="1" spcCol="1270" anchor="ctr" anchorCtr="0">
          <a:noAutofit/>
        </a:bodyPr>
        <a:lstStyle/>
        <a:p>
          <a:pPr marL="0" lvl="0" indent="0" algn="l" defTabSz="355600">
            <a:lnSpc>
              <a:spcPct val="90000"/>
            </a:lnSpc>
            <a:spcBef>
              <a:spcPct val="0"/>
            </a:spcBef>
            <a:spcAft>
              <a:spcPct val="35000"/>
            </a:spcAft>
            <a:buNone/>
          </a:pPr>
          <a:r>
            <a:rPr lang="el-GR" sz="800" kern="1200"/>
            <a:t>Χαρακτηρισμός παρέμβασης στόχων ΕΕ</a:t>
          </a:r>
          <a:r>
            <a:rPr lang="en-US" sz="800" kern="1200"/>
            <a:t> </a:t>
          </a:r>
          <a:r>
            <a:rPr lang="el-GR" sz="800" kern="1200"/>
            <a:t>/ υπολογισμός συνεισφοράς</a:t>
          </a:r>
          <a:endParaRPr lang="en-US" sz="800" kern="1200"/>
        </a:p>
      </dsp:txBody>
      <dsp:txXfrm>
        <a:off x="2913498" y="941333"/>
        <a:ext cx="2107935" cy="374628"/>
      </dsp:txXfrm>
    </dsp:sp>
    <dsp:sp modelId="{5EE33408-49AB-4138-9B20-C663B15001EF}">
      <dsp:nvSpPr>
        <dsp:cNvPr id="0" name=""/>
        <dsp:cNvSpPr/>
      </dsp:nvSpPr>
      <dsp:spPr>
        <a:xfrm>
          <a:off x="2913498" y="1330836"/>
          <a:ext cx="952206" cy="1375754"/>
        </a:xfrm>
        <a:prstGeom prst="rect">
          <a:avLst/>
        </a:prstGeom>
        <a:solidFill>
          <a:schemeClr val="l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t" anchorCtr="0">
          <a:noAutofit/>
        </a:bodyPr>
        <a:lstStyle/>
        <a:p>
          <a:pPr marL="0" lvl="0" indent="0" algn="l" defTabSz="355600">
            <a:lnSpc>
              <a:spcPct val="90000"/>
            </a:lnSpc>
            <a:spcBef>
              <a:spcPct val="0"/>
            </a:spcBef>
            <a:spcAft>
              <a:spcPct val="35000"/>
            </a:spcAft>
            <a:buNone/>
          </a:pPr>
          <a:r>
            <a:rPr lang="el-GR" sz="800" kern="1200"/>
            <a:t>Κλιματική αλλαγή και περιβαλλοντικοί στόχοι (</a:t>
          </a:r>
          <a:r>
            <a:rPr lang="en-US" sz="800" kern="1200"/>
            <a:t>green tagging)</a:t>
          </a:r>
        </a:p>
        <a:p>
          <a:pPr marL="0" lvl="0" indent="0" algn="l" defTabSz="355600">
            <a:lnSpc>
              <a:spcPct val="90000"/>
            </a:lnSpc>
            <a:spcBef>
              <a:spcPct val="0"/>
            </a:spcBef>
            <a:spcAft>
              <a:spcPct val="35000"/>
            </a:spcAft>
            <a:buNone/>
          </a:pPr>
          <a:r>
            <a:rPr lang="el-GR" sz="800" kern="1200"/>
            <a:t>Στήριξη για τη ψηφιακή μετάβαση (</a:t>
          </a:r>
          <a:r>
            <a:rPr lang="en-US" sz="800" kern="1200"/>
            <a:t>digital tagging)</a:t>
          </a:r>
        </a:p>
      </dsp:txBody>
      <dsp:txXfrm>
        <a:off x="2913498" y="1330836"/>
        <a:ext cx="952206" cy="1375754"/>
      </dsp:txXfrm>
    </dsp:sp>
    <dsp:sp modelId="{811AECDA-3BA3-4EBB-90E1-5F3CBA22A1EF}">
      <dsp:nvSpPr>
        <dsp:cNvPr id="0" name=""/>
        <dsp:cNvSpPr/>
      </dsp:nvSpPr>
      <dsp:spPr>
        <a:xfrm>
          <a:off x="3865601" y="1003867"/>
          <a:ext cx="1343145" cy="749256"/>
        </a:xfrm>
        <a:prstGeom prst="rightArrow">
          <a:avLst>
            <a:gd name="adj1" fmla="val 50000"/>
            <a:gd name="adj2" fmla="val 5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254000" bIns="118944" numCol="1" spcCol="1270" anchor="ctr" anchorCtr="0">
          <a:noAutofit/>
        </a:bodyPr>
        <a:lstStyle/>
        <a:p>
          <a:pPr marL="0" lvl="0" indent="0" algn="l" defTabSz="355600">
            <a:lnSpc>
              <a:spcPct val="90000"/>
            </a:lnSpc>
            <a:spcBef>
              <a:spcPct val="0"/>
            </a:spcBef>
            <a:spcAft>
              <a:spcPct val="35000"/>
            </a:spcAft>
            <a:buNone/>
          </a:pPr>
          <a:r>
            <a:rPr lang="el-GR" sz="800" kern="1200"/>
            <a:t>Συμβατότητα με Κρατικές Ενισχύσεις</a:t>
          </a:r>
          <a:endParaRPr lang="en-US" sz="800" kern="1200"/>
        </a:p>
      </dsp:txBody>
      <dsp:txXfrm>
        <a:off x="3865601" y="1191181"/>
        <a:ext cx="1155831" cy="374628"/>
      </dsp:txXfrm>
    </dsp:sp>
    <dsp:sp modelId="{5F239BA3-B72D-40B4-AAF5-F124E9377B0A}">
      <dsp:nvSpPr>
        <dsp:cNvPr id="0" name=""/>
        <dsp:cNvSpPr/>
      </dsp:nvSpPr>
      <dsp:spPr>
        <a:xfrm>
          <a:off x="3865601" y="1580685"/>
          <a:ext cx="952206" cy="1375754"/>
        </a:xfrm>
        <a:prstGeom prst="rect">
          <a:avLst/>
        </a:prstGeom>
        <a:solidFill>
          <a:schemeClr val="l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t" anchorCtr="0">
          <a:noAutofit/>
        </a:bodyPr>
        <a:lstStyle/>
        <a:p>
          <a:pPr marL="0" lvl="0" indent="0" algn="l" defTabSz="355600">
            <a:lnSpc>
              <a:spcPct val="90000"/>
            </a:lnSpc>
            <a:spcBef>
              <a:spcPct val="0"/>
            </a:spcBef>
            <a:spcAft>
              <a:spcPct val="35000"/>
            </a:spcAft>
            <a:buNone/>
          </a:pPr>
          <a:r>
            <a:rPr lang="el-GR" sz="800" kern="1200"/>
            <a:t>Υπολογισμός ισοδύναμου επιχορήγησης</a:t>
          </a:r>
          <a:endParaRPr lang="en-US" sz="800" kern="1200"/>
        </a:p>
        <a:p>
          <a:pPr marL="0" lvl="0" indent="0" algn="l" defTabSz="355600">
            <a:lnSpc>
              <a:spcPct val="90000"/>
            </a:lnSpc>
            <a:spcBef>
              <a:spcPct val="0"/>
            </a:spcBef>
            <a:spcAft>
              <a:spcPct val="35000"/>
            </a:spcAft>
            <a:buNone/>
          </a:pPr>
          <a:r>
            <a:rPr lang="el-GR" sz="800" kern="1200"/>
            <a:t>Κανονισμός </a:t>
          </a:r>
          <a:r>
            <a:rPr lang="en-US" sz="800" kern="1200"/>
            <a:t>De Minimis 2013/1407</a:t>
          </a:r>
        </a:p>
        <a:p>
          <a:pPr marL="0" lvl="0" indent="0" algn="l" defTabSz="355600">
            <a:lnSpc>
              <a:spcPct val="90000"/>
            </a:lnSpc>
            <a:spcBef>
              <a:spcPct val="0"/>
            </a:spcBef>
            <a:spcAft>
              <a:spcPct val="35000"/>
            </a:spcAft>
            <a:buNone/>
          </a:pPr>
          <a:r>
            <a:rPr lang="el-GR" sz="800" kern="1200"/>
            <a:t>Γενικός Απαλλακτικός Κανονισμός </a:t>
          </a:r>
          <a:r>
            <a:rPr lang="en-US" sz="800" kern="1200"/>
            <a:t>(EE) </a:t>
          </a:r>
          <a:r>
            <a:rPr lang="el-GR" sz="800" kern="1200"/>
            <a:t>2014</a:t>
          </a:r>
          <a:r>
            <a:rPr lang="en-US" sz="800" kern="1200"/>
            <a:t>/651</a:t>
          </a:r>
        </a:p>
      </dsp:txBody>
      <dsp:txXfrm>
        <a:off x="3865601" y="1580685"/>
        <a:ext cx="952206" cy="1375754"/>
      </dsp:txXfrm>
    </dsp:sp>
  </dsp:spTree>
</dsp:drawing>
</file>

<file path=word/diagrams/layout1.xml><?xml version="1.0" encoding="utf-8"?>
<dgm:layoutDef xmlns:dgm="http://schemas.openxmlformats.org/drawingml/2006/diagram" xmlns:a="http://schemas.openxmlformats.org/drawingml/2006/main" uniqueId="urn:microsoft.com/office/officeart/2009/3/layout/IncreasingArrowsProcess">
  <dgm:title val=""/>
  <dgm:desc val=""/>
  <dgm:catLst>
    <dgm:cat type="process" pri="5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Lst>
      <dgm:cxnLst>
        <dgm:cxn modelId="40" srcId="0" destId="10" srcOrd="0" destOrd="0"/>
        <dgm:cxn modelId="12" srcId="10" destId="11" srcOrd="0" destOrd="0"/>
        <dgm:cxn modelId="50" srcId="0" destId="20" srcOrd="1" destOrd="0"/>
        <dgm:cxn modelId="22" srcId="20" destId="2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clrData>
  <dgm:layoutNode name="Name0">
    <dgm:varLst>
      <dgm:chMax val="5"/>
      <dgm:chPref val="5"/>
      <dgm:dir/>
      <dgm:animLvl val="lvl"/>
    </dgm:varLst>
    <dgm:shape xmlns:r="http://schemas.openxmlformats.org/officeDocument/2006/relationships" r:blip="">
      <dgm:adjLst/>
    </dgm:shape>
    <dgm:choose name="Name1">
      <dgm:if name="Name2" axis="ch" ptType="node" func="cnt" op="equ" val="1">
        <dgm:choose name="Name3">
          <dgm:if name="Name4" axis="ch ch" ptType="node node" func="cnt" op="equ" val="0">
            <dgm:alg type="composite">
              <dgm:param type="ar" val="6.8662"/>
            </dgm:alg>
            <dgm:choose name="Name5">
              <dgm:if name="Name6" func="var" arg="dir" op="equ" val="norm">
                <dgm:constrLst>
                  <dgm:constr type="primFontSz" for="des" forName="parentText1" val="65"/>
                  <dgm:constr type="l" for="ch" forName="parentText1" refType="w" fact="0"/>
                  <dgm:constr type="t" for="ch" forName="parentText1" refType="h" fact="0"/>
                  <dgm:constr type="w" for="ch" forName="parentText1" refType="w"/>
                  <dgm:constr type="h" for="ch" forName="parentText1" refType="h"/>
                </dgm:constrLst>
              </dgm:if>
              <dgm:else name="Name7">
                <dgm:constrLst>
                  <dgm:constr type="primFontSz" for="des" forName="parentText1" val="65"/>
                  <dgm:constr type="l" for="ch" forName="parentText1" refType="w" fact="0"/>
                  <dgm:constr type="t" for="ch" forName="parentText1" refType="h" fact="0"/>
                  <dgm:constr type="w" for="ch" forName="parentText1" refType="w"/>
                  <dgm:constr type="h" for="ch" forName="parentText1" refType="h"/>
                </dgm:constrLst>
              </dgm:else>
            </dgm:choose>
          </dgm:if>
          <dgm:else name="Name8">
            <dgm:alg type="composite">
              <dgm:param type="ar" val="1.9864"/>
            </dgm:alg>
            <dgm:choose name="Name9">
              <dgm:if name="Name10" func="var" arg="dir" op="equ" val="norm">
                <dgm:constrLst>
                  <dgm:constr type="primFontSz" for="des" forName="childText1" val="65"/>
                  <dgm:constr type="primFontSz" for="des" forName="parentText1" val="65"/>
                  <dgm:constr type="primFontSz" for="des" forName="childText1" refType="primFontSz" refFor="des" refForName="parentText1" op="lte"/>
                  <dgm:constr type="l" for="ch" forName="parentText1" refType="w" fact="0"/>
                  <dgm:constr type="t" for="ch" forName="parentText1" refType="h" fact="0"/>
                  <dgm:constr type="w" for="ch" forName="parentText1" refType="w"/>
                  <dgm:constr type="h" for="ch" forName="parentText1" refType="h" fact="0.2893"/>
                  <dgm:constr type="l" for="ch" forName="childText1" refType="w" fact="0"/>
                  <dgm:constr type="t" for="ch" forName="childText1" refType="h" fact="0.224"/>
                  <dgm:constr type="w" for="ch" forName="childText1" refType="w" fact="0.9241"/>
                  <dgm:constr type="h" for="ch" forName="childText1" refType="h" fact="0.776"/>
                </dgm:constrLst>
              </dgm:if>
              <dgm:else name="Name11">
                <dgm:constrLst>
                  <dgm:constr type="primFontSz" for="des" forName="childText1" val="65"/>
                  <dgm:constr type="primFontSz" for="des" forName="parentText1" val="65"/>
                  <dgm:constr type="primFontSz" for="des" forName="childText1" refType="primFontSz" refFor="des" refForName="parentText1" op="lte"/>
                  <dgm:constr type="l" for="ch" forName="parentText1" refType="w" fact="0"/>
                  <dgm:constr type="t" for="ch" forName="parentText1" refType="h" fact="0"/>
                  <dgm:constr type="w" for="ch" forName="parentText1" refType="w"/>
                  <dgm:constr type="h" for="ch" forName="parentText1" refType="h" fact="0.2893"/>
                  <dgm:constr type="l" for="ch" forName="childText1" refType="w" fact="0.076"/>
                  <dgm:constr type="t" for="ch" forName="childText1" refType="h" fact="0.224"/>
                  <dgm:constr type="w" for="ch" forName="childText1" refType="w" fact="0.9241"/>
                  <dgm:constr type="h" for="ch" forName="childText1" refType="h" fact="0.776"/>
                </dgm:constrLst>
              </dgm:else>
            </dgm:choose>
          </dgm:else>
        </dgm:choose>
      </dgm:if>
      <dgm:if name="Name12" axis="ch" ptType="node" func="cnt" op="equ" val="2">
        <dgm:choose name="Name13">
          <dgm:if name="Name14" axis="ch ch" ptType="node node" func="cnt" op="equ" val="0">
            <dgm:alg type="composite">
              <dgm:param type="ar" val="5.1498"/>
            </dgm:alg>
            <dgm:choose name="Name15">
              <dgm:if name="Name16" func="var" arg="dir" op="equ" val="norm">
                <dgm:constrLst>
                  <dgm:constr type="primFontSz" for="des" forName="parentText1" val="65"/>
                  <dgm:constr type="primFontSz" for="des" forName="parentText2" refType="primFontSz" refFor="des" refForName="parentText1" op="equ"/>
                  <dgm:constr type="l" for="ch" forName="parentText1" refType="w" fact="0"/>
                  <dgm:constr type="t" for="ch" forName="parentText1" refType="h" fact="0"/>
                  <dgm:constr type="w" for="ch" forName="parentText1" refType="w"/>
                  <dgm:constr type="h" for="ch" forName="parentText1" refType="h" fact="0.7501"/>
                  <dgm:constr type="l" for="ch" forName="parentText2" refType="w" fact="0.462"/>
                  <dgm:constr type="t" for="ch" forName="parentText2" refType="h" fact="0.2499"/>
                  <dgm:constr type="w" for="ch" forName="parentText2" refType="w" fact="0.538"/>
                  <dgm:constr type="h" for="ch" forName="parentText2" refType="h" fact="0.7501"/>
                </dgm:constrLst>
              </dgm:if>
              <dgm:else name="Name17">
                <dgm:constrLst>
                  <dgm:constr type="primFontSz" for="des" forName="parentText1" val="65"/>
                  <dgm:constr type="primFontSz" for="des" forName="parentText2" refType="primFontSz" refFor="des" refForName="parentText1" op="equ"/>
                  <dgm:constr type="l" for="ch" forName="parentText1" refType="w" fact="0"/>
                  <dgm:constr type="t" for="ch" forName="parentText1" refType="h" fact="0"/>
                  <dgm:constr type="w" for="ch" forName="parentText1" refType="w"/>
                  <dgm:constr type="h" for="ch" forName="parentText1" refType="h" fact="0.7501"/>
                  <dgm:constr type="l" for="ch" forName="parentText2" refType="w" fact="0"/>
                  <dgm:constr type="t" for="ch" forName="parentText2" refType="h" fact="0.2499"/>
                  <dgm:constr type="w" for="ch" forName="parentText2" refType="w" fact="0.538"/>
                  <dgm:constr type="h" for="ch" forName="parentText2" refType="h" fact="0.7501"/>
                </dgm:constrLst>
              </dgm:else>
            </dgm:choose>
          </dgm:if>
          <dgm:else name="Name18">
            <dgm:alg type="composite">
              <dgm:param type="ar" val="2.0563"/>
            </dgm:alg>
            <dgm:choose name="Name19">
              <dgm:if name="Name2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parentText2" refType="primFontSz" refFor="des" refForName="parentText1" op="equ"/>
                  <dgm:constr type="primFontSz" for="des" forName="childText2" refType="primFontSz" refFor="des" refForName="childText1" op="equ"/>
                  <dgm:constr type="l" for="ch" forName="parentText1" refType="w" fact="0"/>
                  <dgm:constr type="t" for="ch" forName="parentText1" refType="h" fact="0"/>
                  <dgm:constr type="w" for="ch" forName="parentText1" refType="w"/>
                  <dgm:constr type="h" for="ch" forName="parentText1" refType="h" fact="0.2995"/>
                  <dgm:constr type="l" for="ch" forName="parentText2" refType="w" fact="0.462"/>
                  <dgm:constr type="t" for="ch" forName="parentText2" refType="h" fact="0.0998"/>
                  <dgm:constr type="w" for="ch" forName="parentText2" refType="w" fact="0.538"/>
                  <dgm:constr type="h" for="ch" forName="parentText2" refType="h" fact="0.2995"/>
                  <dgm:constr type="l" for="ch" forName="childText1" refType="w" fact="0"/>
                  <dgm:constr type="t" for="ch" forName="childText1" refType="h" fact="0.2317"/>
                  <dgm:constr type="w" for="ch" forName="childText1" refType="w" fact="0.462"/>
                  <dgm:constr type="h" for="ch" forName="childText1" refType="h" fact="0.6685"/>
                  <dgm:constr type="l" for="ch" forName="childText2" refType="w" fact="0.462"/>
                  <dgm:constr type="t" for="ch" forName="childText2" refType="h" fact="0.3315"/>
                  <dgm:constr type="w" for="ch" forName="childText2" refType="w" fact="0.462"/>
                  <dgm:constr type="h" for="ch" forName="childText2" refType="h" fact="0.6685"/>
                </dgm:constrLst>
              </dgm:if>
              <dgm:else name="Name2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parentText2" refType="primFontSz" refFor="des" refForName="parentText1" op="equ"/>
                  <dgm:constr type="primFontSz" for="des" forName="childText2" refType="primFontSz" refFor="des" refForName="childText1" op="equ"/>
                  <dgm:constr type="l" for="ch" forName="parentText1" refType="w" fact="0"/>
                  <dgm:constr type="t" for="ch" forName="parentText1" refType="h" fact="0"/>
                  <dgm:constr type="w" for="ch" forName="parentText1" refType="w"/>
                  <dgm:constr type="h" for="ch" forName="parentText1" refType="h" fact="0.2995"/>
                  <dgm:constr type="l" for="ch" forName="parentText2" refType="w" fact="0"/>
                  <dgm:constr type="t" for="ch" forName="parentText2" refType="h" fact="0.0998"/>
                  <dgm:constr type="w" for="ch" forName="parentText2" refType="w" fact="0.538"/>
                  <dgm:constr type="h" for="ch" forName="parentText2" refType="h" fact="0.2995"/>
                  <dgm:constr type="l" for="ch" forName="childText1" refType="w" fact="0.538"/>
                  <dgm:constr type="t" for="ch" forName="childText1" refType="h" fact="0.2317"/>
                  <dgm:constr type="w" for="ch" forName="childText1" refType="w" fact="0.462"/>
                  <dgm:constr type="h" for="ch" forName="childText1" refType="h" fact="0.6685"/>
                  <dgm:constr type="l" for="ch" forName="childText2" refType="w" fact="0.076"/>
                  <dgm:constr type="t" for="ch" forName="childText2" refType="h" fact="0.3315"/>
                  <dgm:constr type="w" for="ch" forName="childText2" refType="w" fact="0.462"/>
                  <dgm:constr type="h" for="ch" forName="childText2" refType="h" fact="0.6685"/>
                </dgm:constrLst>
              </dgm:else>
            </dgm:choose>
          </dgm:else>
        </dgm:choose>
      </dgm:if>
      <dgm:if name="Name22" axis="ch" ptType="node" func="cnt" op="equ" val="3">
        <dgm:choose name="Name23">
          <dgm:if name="Name24" axis="ch ch" ptType="node node" func="cnt" op="equ" val="0">
            <dgm:alg type="composite">
              <dgm:param type="ar" val="4.1198"/>
            </dgm:alg>
            <dgm:choose name="Name25">
              <dgm:if name="Name2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l" for="ch" forName="parentText1" refType="w" fact="0"/>
                  <dgm:constr type="t" for="ch" forName="parentText1" refType="h" fact="0"/>
                  <dgm:constr type="w" for="ch" forName="parentText1" refType="w"/>
                  <dgm:constr type="h" for="ch" forName="parentText1" refType="h" fact="0.6"/>
                  <dgm:constr type="l" for="ch" forName="parentText2" refType="w" fact="0.308"/>
                  <dgm:constr type="t" for="ch" forName="parentText2" refType="h" fact="0.2"/>
                  <dgm:constr type="w" for="ch" forName="parentText2" refType="w" fact="0.692"/>
                  <dgm:constr type="h" for="ch" forName="parentText2" refType="h" fact="0.6"/>
                  <dgm:constr type="l" for="ch" forName="parentText3" refType="w" fact="0.616"/>
                  <dgm:constr type="t" for="ch" forName="parentText3" refType="h" fact="0.4"/>
                  <dgm:constr type="w" for="ch" forName="parentText3" refType="w" fact="0.384"/>
                  <dgm:constr type="h" for="ch" forName="parentText3" refType="h" fact="0.6"/>
                </dgm:constrLst>
              </dgm:if>
              <dgm:else name="Name2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l" for="ch" forName="parentText1" refType="w" fact="0"/>
                  <dgm:constr type="t" for="ch" forName="parentText1" refType="h" fact="0"/>
                  <dgm:constr type="w" for="ch" forName="parentText1" refType="w"/>
                  <dgm:constr type="h" for="ch" forName="parentText1" refType="h" fact="0.6"/>
                  <dgm:constr type="l" for="ch" forName="parentText2" refType="w" fact="0"/>
                  <dgm:constr type="t" for="ch" forName="parentText2" refType="h" fact="0.2"/>
                  <dgm:constr type="w" for="ch" forName="parentText2" refType="w" fact="0.692"/>
                  <dgm:constr type="h" for="ch" forName="parentText2" refType="h" fact="0.6"/>
                  <dgm:constr type="l" for="ch" forName="parentText3" refType="w" fact="0"/>
                  <dgm:constr type="t" for="ch" forName="parentText3" refType="h" fact="0.4"/>
                  <dgm:constr type="w" for="ch" forName="parentText3" refType="w" fact="0.384"/>
                  <dgm:constr type="h" for="ch" forName="parentText3" refType="h" fact="0.6"/>
                </dgm:constrLst>
              </dgm:else>
            </dgm:choose>
          </dgm:if>
          <dgm:else name="Name28">
            <dgm:alg type="composite">
              <dgm:param type="ar" val="2.0702"/>
            </dgm:alg>
            <dgm:choose name="Name29">
              <dgm:if name="Name3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parentText2" refType="primFontSz" refFor="des" refForName="parentText1" op="equ"/>
                  <dgm:constr type="primFontSz" for="des" forName="parentText3"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l" for="ch" forName="childText1" refType="w" fact="0"/>
                  <dgm:constr type="t" for="ch" forName="childText1" refType="h" fact="0.2325"/>
                  <dgm:constr type="w" for="ch" forName="childText1" refType="w" fact="0.308"/>
                  <dgm:constr type="h" for="ch" forName="childText1" refType="h" fact="0.5808"/>
                  <dgm:constr type="l" for="ch" forName="childText2" refType="w" fact="0.308"/>
                  <dgm:constr type="t" for="ch" forName="childText2" refType="h" fact="0.333"/>
                  <dgm:constr type="w" for="ch" forName="childText2" refType="w" fact="0.308"/>
                  <dgm:constr type="h" for="ch" forName="childText2" refType="h" fact="0.5808"/>
                  <dgm:constr type="l" for="ch" forName="childText3" refType="w" fact="0.616"/>
                  <dgm:constr type="t" for="ch" forName="childText3" refType="h" fact="0.4335"/>
                  <dgm:constr type="w" for="ch" forName="childText3" refType="w" fact="0.308"/>
                  <dgm:constr type="h" for="ch" forName="childText3" refType="h" fact="0.5723"/>
                  <dgm:constr type="l" for="ch" forName="parentText1" refType="w" fact="0"/>
                  <dgm:constr type="t" for="ch" forName="parentText1" refType="h" fact="0"/>
                  <dgm:constr type="w" for="ch" forName="parentText1" refType="w"/>
                  <dgm:constr type="h" for="ch" forName="parentText1" refType="h" fact="0.3015"/>
                  <dgm:constr type="l" for="ch" forName="parentText2" refType="w" fact="0.308"/>
                  <dgm:constr type="t" for="ch" forName="parentText2" refType="h" fact="0.1005"/>
                  <dgm:constr type="w" for="ch" forName="parentText2" refType="w" fact="0.692"/>
                  <dgm:constr type="h" for="ch" forName="parentText2" refType="h" fact="0.3015"/>
                  <dgm:constr type="l" for="ch" forName="parentText3" refType="w" fact="0.616"/>
                  <dgm:constr type="t" for="ch" forName="parentText3" refType="h" fact="0.201"/>
                  <dgm:constr type="w" for="ch" forName="parentText3" refType="w" fact="0.384"/>
                  <dgm:constr type="h" for="ch" forName="parentText3" refType="h" fact="0.3015"/>
                </dgm:constrLst>
              </dgm:if>
              <dgm:else name="Name3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parentText2" refType="primFontSz" refFor="des" refForName="parentText1" op="equ"/>
                  <dgm:constr type="primFontSz" for="des" forName="parentText3"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l" for="ch" forName="childText1" refType="w" fact="0.692"/>
                  <dgm:constr type="t" for="ch" forName="childText1" refType="h" fact="0.2325"/>
                  <dgm:constr type="w" for="ch" forName="childText1" refType="w" fact="0.308"/>
                  <dgm:constr type="h" for="ch" forName="childText1" refType="h" fact="0.5808"/>
                  <dgm:constr type="l" for="ch" forName="childText2" refType="w" fact="0.384"/>
                  <dgm:constr type="t" for="ch" forName="childText2" refType="h" fact="0.333"/>
                  <dgm:constr type="w" for="ch" forName="childText2" refType="w" fact="0.308"/>
                  <dgm:constr type="h" for="ch" forName="childText2" refType="h" fact="0.5808"/>
                  <dgm:constr type="l" for="ch" forName="childText3" refType="w" fact="0.076"/>
                  <dgm:constr type="t" for="ch" forName="childText3" refType="h" fact="0.4335"/>
                  <dgm:constr type="w" for="ch" forName="childText3" refType="w" fact="0.308"/>
                  <dgm:constr type="h" for="ch" forName="childText3" refType="h" fact="0.5723"/>
                  <dgm:constr type="l" for="ch" forName="parentText1" refType="w" fact="0"/>
                  <dgm:constr type="t" for="ch" forName="parentText1" refType="h" fact="0"/>
                  <dgm:constr type="w" for="ch" forName="parentText1" refType="w"/>
                  <dgm:constr type="h" for="ch" forName="parentText1" refType="h" fact="0.3015"/>
                  <dgm:constr type="l" for="ch" forName="parentText2" refType="w" fact="0"/>
                  <dgm:constr type="t" for="ch" forName="parentText2" refType="h" fact="0.1005"/>
                  <dgm:constr type="w" for="ch" forName="parentText2" refType="w" fact="0.692"/>
                  <dgm:constr type="h" for="ch" forName="parentText2" refType="h" fact="0.3015"/>
                  <dgm:constr type="l" for="ch" forName="parentText3" refType="w" fact="0"/>
                  <dgm:constr type="t" for="ch" forName="parentText3" refType="h" fact="0.201"/>
                  <dgm:constr type="w" for="ch" forName="parentText3" refType="w" fact="0.384"/>
                  <dgm:constr type="h" for="ch" forName="parentText3" refType="h" fact="0.3015"/>
                </dgm:constrLst>
              </dgm:else>
            </dgm:choose>
          </dgm:else>
        </dgm:choose>
      </dgm:if>
      <dgm:if name="Name32" axis="ch" ptType="node" func="cnt" op="equ" val="4">
        <dgm:choose name="Name33">
          <dgm:if name="Name34" axis="ch ch" ptType="node node" func="cnt" op="equ" val="0">
            <dgm:alg type="composite">
              <dgm:param type="ar" val="3.435"/>
            </dgm:alg>
            <dgm:choose name="Name35">
              <dgm:if name="Name3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l" for="ch" forName="parentText1" refType="w" fact="0"/>
                  <dgm:constr type="t" for="ch" forName="parentText1" refType="h" fact="0"/>
                  <dgm:constr type="w" for="ch" forName="parentText1" refType="w"/>
                  <dgm:constr type="h" for="ch" forName="parentText1" refType="h" fact="0.5001"/>
                  <dgm:constr type="l" for="ch" forName="parentText2" refType="w" fact="0.2305"/>
                  <dgm:constr type="t" for="ch" forName="parentText2" refType="h" fact="0.1666"/>
                  <dgm:constr type="w" for="ch" forName="parentText2" refType="w" fact="0.7695"/>
                  <dgm:constr type="h" for="ch" forName="parentText2" refType="h" fact="0.5001"/>
                  <dgm:constr type="l" for="ch" forName="parentText3" refType="w" fact="0.461"/>
                  <dgm:constr type="t" for="ch" forName="parentText3" refType="h" fact="0.3333"/>
                  <dgm:constr type="w" for="ch" forName="parentText3" refType="w" fact="0.539"/>
                  <dgm:constr type="h" for="ch" forName="parentText3" refType="h" fact="0.5001"/>
                  <dgm:constr type="l" for="ch" forName="parentText4" refType="w" fact="0.6915"/>
                  <dgm:constr type="t" for="ch" forName="parentText4" refType="h" fact="0.4999"/>
                  <dgm:constr type="w" for="ch" forName="parentText4" refType="w" fact="0.3085"/>
                  <dgm:constr type="h" for="ch" forName="parentText4" refType="h" fact="0.5001"/>
                </dgm:constrLst>
              </dgm:if>
              <dgm:else name="Name3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l" for="ch" forName="parentText1" refType="w" fact="0"/>
                  <dgm:constr type="t" for="ch" forName="parentText1" refType="h" fact="0"/>
                  <dgm:constr type="w" for="ch" forName="parentText1" refType="w"/>
                  <dgm:constr type="h" for="ch" forName="parentText1" refType="h" fact="0.5001"/>
                  <dgm:constr type="l" for="ch" forName="parentText2" refType="w" fact="0"/>
                  <dgm:constr type="t" for="ch" forName="parentText2" refType="h" fact="0.1666"/>
                  <dgm:constr type="w" for="ch" forName="parentText2" refType="w" fact="0.7695"/>
                  <dgm:constr type="h" for="ch" forName="parentText2" refType="h" fact="0.5001"/>
                  <dgm:constr type="l" for="ch" forName="parentText3" refType="w" fact="0"/>
                  <dgm:constr type="t" for="ch" forName="parentText3" refType="h" fact="0.3333"/>
                  <dgm:constr type="w" for="ch" forName="parentText3" refType="w" fact="0.539"/>
                  <dgm:constr type="h" for="ch" forName="parentText3" refType="h" fact="0.5001"/>
                  <dgm:constr type="l" for="ch" forName="parentText4" refType="w" fact="0"/>
                  <dgm:constr type="t" for="ch" forName="parentText4" refType="h" fact="0.4999"/>
                  <dgm:constr type="w" for="ch" forName="parentText4" refType="w" fact="0.3085"/>
                  <dgm:constr type="h" for="ch" forName="parentText4" refType="h" fact="0.5001"/>
                </dgm:constrLst>
              </dgm:else>
            </dgm:choose>
          </dgm:if>
          <dgm:else name="Name38">
            <dgm:alg type="composite">
              <dgm:param type="ar" val="1.9377"/>
            </dgm:alg>
            <dgm:choose name="Name39">
              <dgm:if name="Name4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l" for="ch" forName="childText1" refType="w" fact="0"/>
                  <dgm:constr type="t" for="ch" forName="childText1" refType="h" fact="0.218"/>
                  <dgm:constr type="w" for="ch" forName="childText1" refType="w" fact="0.2305"/>
                  <dgm:constr type="h" for="ch" forName="childText1" refType="h" fact="0.5218"/>
                  <dgm:constr type="l" for="ch" forName="childText2" refType="w" fact="0.2305"/>
                  <dgm:constr type="t" for="ch" forName="childText2" refType="h" fact="0.312"/>
                  <dgm:constr type="w" for="ch" forName="childText2" refType="w" fact="0.2305"/>
                  <dgm:constr type="h" for="ch" forName="childText2" refType="h" fact="0.5085"/>
                  <dgm:constr type="l" for="ch" forName="childText3" refType="w" fact="0.461"/>
                  <dgm:constr type="t" for="ch" forName="childText3" refType="h" fact="0.406"/>
                  <dgm:constr type="w" for="ch" forName="childText3" refType="w" fact="0.2305"/>
                  <dgm:constr type="h" for="ch" forName="childText3" refType="h" fact="0.5119"/>
                  <dgm:constr type="l" for="ch" forName="childText4" refType="w" fact="0.6915"/>
                  <dgm:constr type="t" for="ch" forName="childText4" refType="h" fact="0.5"/>
                  <dgm:constr type="w" for="ch" forName="childText4" refType="w" fact="0.2326"/>
                  <dgm:constr type="h" for="ch" forName="childText4" refType="h" fact="0.5179"/>
                  <dgm:constr type="l" for="ch" forName="parentText1" refType="w" fact="0"/>
                  <dgm:constr type="t" for="ch" forName="parentText1" refType="h" fact="0"/>
                  <dgm:constr type="w" for="ch" forName="parentText1" refType="w"/>
                  <dgm:constr type="h" for="ch" forName="parentText1" refType="h" fact="0.2821"/>
                  <dgm:constr type="l" for="ch" forName="parentText2" refType="w" fact="0.2305"/>
                  <dgm:constr type="t" for="ch" forName="parentText2" refType="h" fact="0.094"/>
                  <dgm:constr type="w" for="ch" forName="parentText2" refType="w" fact="0.7695"/>
                  <dgm:constr type="h" for="ch" forName="parentText2" refType="h" fact="0.2821"/>
                  <dgm:constr type="l" for="ch" forName="parentText3" refType="w" fact="0.461"/>
                  <dgm:constr type="t" for="ch" forName="parentText3" refType="h" fact="0.188"/>
                  <dgm:constr type="w" for="ch" forName="parentText3" refType="w" fact="0.539"/>
                  <dgm:constr type="h" for="ch" forName="parentText3" refType="h" fact="0.2821"/>
                  <dgm:constr type="l" for="ch" forName="parentText4" refType="w" fact="0.6915"/>
                  <dgm:constr type="t" for="ch" forName="parentText4" refType="h" fact="0.282"/>
                  <dgm:constr type="w" for="ch" forName="parentText4" refType="w" fact="0.3085"/>
                  <dgm:constr type="h" for="ch" forName="parentText4" refType="h" fact="0.2821"/>
                </dgm:constrLst>
              </dgm:if>
              <dgm:else name="Name4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l" for="ch" forName="childText1" refType="w" fact="0.7695"/>
                  <dgm:constr type="t" for="ch" forName="childText1" refType="h" fact="0.218"/>
                  <dgm:constr type="w" for="ch" forName="childText1" refType="w" fact="0.2305"/>
                  <dgm:constr type="h" for="ch" forName="childText1" refType="h" fact="0.5218"/>
                  <dgm:constr type="l" for="ch" forName="childText2" refType="w" fact="0.539"/>
                  <dgm:constr type="t" for="ch" forName="childText2" refType="h" fact="0.312"/>
                  <dgm:constr type="w" for="ch" forName="childText2" refType="w" fact="0.2305"/>
                  <dgm:constr type="h" for="ch" forName="childText2" refType="h" fact="0.5085"/>
                  <dgm:constr type="l" for="ch" forName="childText3" refType="w" fact="0.3085"/>
                  <dgm:constr type="t" for="ch" forName="childText3" refType="h" fact="0.406"/>
                  <dgm:constr type="w" for="ch" forName="childText3" refType="w" fact="0.2305"/>
                  <dgm:constr type="h" for="ch" forName="childText3" refType="h" fact="0.5119"/>
                  <dgm:constr type="l" for="ch" forName="childText4" refType="w" fact="0.076"/>
                  <dgm:constr type="t" for="ch" forName="childText4" refType="h" fact="0.5"/>
                  <dgm:constr type="w" for="ch" forName="childText4" refType="w" fact="0.2346"/>
                  <dgm:constr type="h" for="ch" forName="childText4" refType="h" fact="0.5179"/>
                  <dgm:constr type="l" for="ch" forName="parentText1" refType="w" fact="0"/>
                  <dgm:constr type="t" for="ch" forName="parentText1" refType="h" fact="0"/>
                  <dgm:constr type="w" for="ch" forName="parentText1" refType="w"/>
                  <dgm:constr type="h" for="ch" forName="parentText1" refType="h" fact="0.2821"/>
                  <dgm:constr type="l" for="ch" forName="parentText2" refType="w" fact="0"/>
                  <dgm:constr type="t" for="ch" forName="parentText2" refType="h" fact="0.094"/>
                  <dgm:constr type="w" for="ch" forName="parentText2" refType="w" fact="0.7695"/>
                  <dgm:constr type="h" for="ch" forName="parentText2" refType="h" fact="0.2821"/>
                  <dgm:constr type="l" for="ch" forName="parentText3" refType="w" fact="0"/>
                  <dgm:constr type="t" for="ch" forName="parentText3" refType="h" fact="0.188"/>
                  <dgm:constr type="w" for="ch" forName="parentText3" refType="w" fact="0.539"/>
                  <dgm:constr type="h" for="ch" forName="parentText3" refType="h" fact="0.2821"/>
                  <dgm:constr type="l" for="ch" forName="parentText4" refType="w" fact="0"/>
                  <dgm:constr type="t" for="ch" forName="parentText4" refType="h" fact="0.282"/>
                  <dgm:constr type="w" for="ch" forName="parentText4" refType="w" fact="0.3085"/>
                  <dgm:constr type="h" for="ch" forName="parentText4" refType="h" fact="0.2821"/>
                </dgm:constrLst>
              </dgm:else>
            </dgm:choose>
          </dgm:else>
        </dgm:choose>
      </dgm:if>
      <dgm:else name="Name42">
        <dgm:choose name="Name43">
          <dgm:if name="Name44" axis="ch ch" ptType="node node" func="cnt" op="equ" val="0">
            <dgm:alg type="composite">
              <dgm:param type="ar" val="2.9463"/>
            </dgm:alg>
            <dgm:choose name="Name45">
              <dgm:if name="Name4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l" for="ch" forName="parentText1" refType="w" fact="0"/>
                  <dgm:constr type="t" for="ch" forName="parentText1" refType="h" fact="0"/>
                  <dgm:constr type="w" for="ch" forName="parentText1" refType="w"/>
                  <dgm:constr type="h" for="ch" forName="parentText1" refType="h" fact="0.4285"/>
                  <dgm:constr type="l" for="ch" forName="parentText2" refType="w" fact="0.1848"/>
                  <dgm:constr type="t" for="ch" forName="parentText2" refType="h" fact="0.1429"/>
                  <dgm:constr type="w" for="ch" forName="parentText2" refType="w" fact="0.8152"/>
                  <dgm:constr type="h" for="ch" forName="parentText2" refType="h" fact="0.4285"/>
                  <dgm:constr type="l" for="ch" forName="parentText3" refType="w" fact="0.3696"/>
                  <dgm:constr type="t" for="ch" forName="parentText3" refType="h" fact="0.2858"/>
                  <dgm:constr type="w" for="ch" forName="parentText3" refType="w" fact="0.6304"/>
                  <dgm:constr type="h" for="ch" forName="parentText3" refType="h" fact="0.4285"/>
                  <dgm:constr type="l" for="ch" forName="parentText4" refType="w" fact="0.5545"/>
                  <dgm:constr type="t" for="ch" forName="parentText4" refType="h" fact="0.4286"/>
                  <dgm:constr type="w" for="ch" forName="parentText4" refType="w" fact="0.4455"/>
                  <dgm:constr type="h" for="ch" forName="parentText4" refType="h" fact="0.4285"/>
                  <dgm:constr type="l" for="ch" forName="parentText5" refType="w" fact="0.7393"/>
                  <dgm:constr type="t" for="ch" forName="parentText5" refType="h" fact="0.5715"/>
                  <dgm:constr type="w" for="ch" forName="parentText5" refType="w" fact="0.2607"/>
                  <dgm:constr type="h" for="ch" forName="parentText5" refType="h" fact="0.4285"/>
                </dgm:constrLst>
              </dgm:if>
              <dgm:else name="Name4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l" for="ch" forName="parentText1" refType="w" fact="0"/>
                  <dgm:constr type="t" for="ch" forName="parentText1" refType="h" fact="0"/>
                  <dgm:constr type="w" for="ch" forName="parentText1" refType="w"/>
                  <dgm:constr type="h" for="ch" forName="parentText1" refType="h" fact="0.4285"/>
                  <dgm:constr type="l" for="ch" forName="parentText2" refType="w" fact="0"/>
                  <dgm:constr type="t" for="ch" forName="parentText2" refType="h" fact="0.1429"/>
                  <dgm:constr type="w" for="ch" forName="parentText2" refType="w" fact="0.8152"/>
                  <dgm:constr type="h" for="ch" forName="parentText2" refType="h" fact="0.4285"/>
                  <dgm:constr type="l" for="ch" forName="parentText3" refType="w" fact="0"/>
                  <dgm:constr type="t" for="ch" forName="parentText3" refType="h" fact="0.2858"/>
                  <dgm:constr type="w" for="ch" forName="parentText3" refType="w" fact="0.6304"/>
                  <dgm:constr type="h" for="ch" forName="parentText3" refType="h" fact="0.4285"/>
                  <dgm:constr type="l" for="ch" forName="parentText4" refType="w" fact="0"/>
                  <dgm:constr type="t" for="ch" forName="parentText4" refType="h" fact="0.4286"/>
                  <dgm:constr type="w" for="ch" forName="parentText4" refType="w" fact="0.4455"/>
                  <dgm:constr type="h" for="ch" forName="parentText4" refType="h" fact="0.4285"/>
                  <dgm:constr type="l" for="ch" forName="parentText5" refType="w" fact="0"/>
                  <dgm:constr type="t" for="ch" forName="parentText5" refType="h" fact="0.5715"/>
                  <dgm:constr type="w" for="ch" forName="parentText5" refType="w" fact="0.2607"/>
                  <dgm:constr type="h" for="ch" forName="parentText5" refType="h" fact="0.4285"/>
                </dgm:constrLst>
              </dgm:else>
            </dgm:choose>
          </dgm:if>
          <dgm:else name="Name48">
            <dgm:alg type="composite">
              <dgm:param type="ar" val="1.7837"/>
            </dgm:alg>
            <dgm:choose name="Name49">
              <dgm:if name="Name5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5"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5"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5"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childText5" refType="primFontSz" refFor="des" refForName="parentText4" op="lte"/>
                  <dgm:constr type="primFontSz" for="des" forName="childText1" refType="primFontSz" refFor="des" refForName="parentText5" op="lte"/>
                  <dgm:constr type="primFontSz" for="des" forName="childText2" refType="primFontSz" refFor="des" refForName="parentText5" op="lte"/>
                  <dgm:constr type="primFontSz" for="des" forName="childText3" refType="primFontSz" refFor="des" refForName="parentText5" op="lte"/>
                  <dgm:constr type="primFontSz" for="des" forName="childText4" refType="primFontSz" refFor="des" refForName="parentText5" op="lte"/>
                  <dgm:constr type="primFontSz" for="des" forName="childText5" refType="primFontSz" refFor="des" refForName="parentText5"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primFontSz" for="des" forName="childText5" refType="primFontSz" refFor="des" refForName="childText1" op="equ"/>
                  <dgm:constr type="l" for="ch" forName="childText1" refType="w" fact="0"/>
                  <dgm:constr type="t" for="ch" forName="childText1" refType="h" fact="0.1997"/>
                  <dgm:constr type="w" for="ch" forName="childText1" refType="w" fact="0.18482"/>
                  <dgm:constr type="h" for="ch" forName="childText1" refType="h" fact="0.4763"/>
                  <dgm:constr type="l" for="ch" forName="childText2" refType="w" fact="0.1848"/>
                  <dgm:constr type="t" for="ch" forName="childText2" refType="h" fact="0.2862"/>
                  <dgm:constr type="w" for="ch" forName="childText2" refType="w" fact="0.18482"/>
                  <dgm:constr type="h" for="ch" forName="childText2" refType="h" fact="0.4763"/>
                  <dgm:constr type="l" for="ch" forName="childText3" refType="w" fact="0.3696"/>
                  <dgm:constr type="t" for="ch" forName="childText3" refType="h" fact="0.3727"/>
                  <dgm:constr type="w" for="ch" forName="childText3" refType="w" fact="0.18482"/>
                  <dgm:constr type="h" for="ch" forName="childText3" refType="h" fact="0.4763"/>
                  <dgm:constr type="l" for="ch" forName="childText4" refType="w" fact="0.5545"/>
                  <dgm:constr type="t" for="ch" forName="childText4" refType="h" fact="0.4592"/>
                  <dgm:constr type="w" for="ch" forName="childText4" refType="w" fact="0.18482"/>
                  <dgm:constr type="h" for="ch" forName="childText4" refType="h" fact="0.4763"/>
                  <dgm:constr type="l" for="ch" forName="childText5" refType="w" fact="0.7393"/>
                  <dgm:constr type="t" for="ch" forName="childText5" refType="h" fact="0.5457"/>
                  <dgm:constr type="w" for="ch" forName="childText5" refType="w" fact="0.18482"/>
                  <dgm:constr type="h" for="ch" forName="childText5" refType="h" fact="0.4763"/>
                  <dgm:constr type="l" for="ch" forName="parentText1" refType="w" fact="0"/>
                  <dgm:constr type="t" for="ch" forName="parentText1" refType="h" fact="0"/>
                  <dgm:constr type="w" for="ch" forName="parentText1" refType="w"/>
                  <dgm:constr type="h" for="ch" forName="parentText1" refType="h" fact="0.2594"/>
                  <dgm:constr type="l" for="ch" forName="parentText2" refType="w" fact="0.1848"/>
                  <dgm:constr type="t" for="ch" forName="parentText2" refType="h" fact="0.0865"/>
                  <dgm:constr type="w" for="ch" forName="parentText2" refType="w" fact="0.8152"/>
                  <dgm:constr type="h" for="ch" forName="parentText2" refType="h" fact="0.2594"/>
                  <dgm:constr type="l" for="ch" forName="parentText3" refType="w" fact="0.3696"/>
                  <dgm:constr type="t" for="ch" forName="parentText3" refType="h" fact="0.173"/>
                  <dgm:constr type="w" for="ch" forName="parentText3" refType="w" fact="0.6304"/>
                  <dgm:constr type="h" for="ch" forName="parentText3" refType="h" fact="0.2594"/>
                  <dgm:constr type="l" for="ch" forName="parentText4" refType="w" fact="0.5545"/>
                  <dgm:constr type="t" for="ch" forName="parentText4" refType="h" fact="0.2595"/>
                  <dgm:constr type="w" for="ch" forName="parentText4" refType="w" fact="0.4455"/>
                  <dgm:constr type="h" for="ch" forName="parentText4" refType="h" fact="0.2594"/>
                  <dgm:constr type="l" for="ch" forName="parentText5" refType="w" fact="0.7393"/>
                  <dgm:constr type="t" for="ch" forName="parentText5" refType="h" fact="0.346"/>
                  <dgm:constr type="w" for="ch" forName="parentText5" refType="w" fact="0.2607"/>
                  <dgm:constr type="h" for="ch" forName="parentText5" refType="h" fact="0.2594"/>
                </dgm:constrLst>
              </dgm:if>
              <dgm:else name="Name5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5"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5"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5"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childText5" refType="primFontSz" refFor="des" refForName="parentText4" op="lte"/>
                  <dgm:constr type="primFontSz" for="des" forName="childText1" refType="primFontSz" refFor="des" refForName="parentText5" op="lte"/>
                  <dgm:constr type="primFontSz" for="des" forName="childText2" refType="primFontSz" refFor="des" refForName="parentText5" op="lte"/>
                  <dgm:constr type="primFontSz" for="des" forName="childText3" refType="primFontSz" refFor="des" refForName="parentText5" op="lte"/>
                  <dgm:constr type="primFontSz" for="des" forName="childText4" refType="primFontSz" refFor="des" refForName="parentText5" op="lte"/>
                  <dgm:constr type="primFontSz" for="des" forName="childText5" refType="primFontSz" refFor="des" refForName="parentText5"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primFontSz" for="des" forName="childText5" refType="primFontSz" refFor="des" refForName="childText1" op="equ"/>
                  <dgm:constr type="l" for="ch" forName="childText1" refType="w" fact="0.81518"/>
                  <dgm:constr type="t" for="ch" forName="childText1" refType="h" fact="0.1997"/>
                  <dgm:constr type="w" for="ch" forName="childText1" refType="w" fact="0.18482"/>
                  <dgm:constr type="h" for="ch" forName="childText1" refType="h" fact="0.4763"/>
                  <dgm:constr type="l" for="ch" forName="childText2" refType="w" fact="0.63036"/>
                  <dgm:constr type="t" for="ch" forName="childText2" refType="h" fact="0.2862"/>
                  <dgm:constr type="w" for="ch" forName="childText2" refType="w" fact="0.18482"/>
                  <dgm:constr type="h" for="ch" forName="childText2" refType="h" fact="0.4763"/>
                  <dgm:constr type="l" for="ch" forName="childText3" refType="w" fact="0.44554"/>
                  <dgm:constr type="t" for="ch" forName="childText3" refType="h" fact="0.3727"/>
                  <dgm:constr type="w" for="ch" forName="childText3" refType="w" fact="0.18482"/>
                  <dgm:constr type="h" for="ch" forName="childText3" refType="h" fact="0.4763"/>
                  <dgm:constr type="l" for="ch" forName="childText4" refType="w" fact="0.26072"/>
                  <dgm:constr type="t" for="ch" forName="childText4" refType="h" fact="0.4592"/>
                  <dgm:constr type="w" for="ch" forName="childText4" refType="w" fact="0.18482"/>
                  <dgm:constr type="h" for="ch" forName="childText4" refType="h" fact="0.4763"/>
                  <dgm:constr type="l" for="ch" forName="childText5" refType="w" fact="0.0759"/>
                  <dgm:constr type="t" for="ch" forName="childText5" refType="h" fact="0.5457"/>
                  <dgm:constr type="w" for="ch" forName="childText5" refType="w" fact="0.18482"/>
                  <dgm:constr type="h" for="ch" forName="childText5" refType="h" fact="0.4763"/>
                  <dgm:constr type="l" for="ch" forName="parentText1" refType="w" fact="0"/>
                  <dgm:constr type="t" for="ch" forName="parentText1" refType="h" fact="0"/>
                  <dgm:constr type="w" for="ch" forName="parentText1" refType="w"/>
                  <dgm:constr type="h" for="ch" forName="parentText1" refType="h" fact="0.2594"/>
                  <dgm:constr type="l" for="ch" forName="parentText2" refType="w" fact="0"/>
                  <dgm:constr type="t" for="ch" forName="parentText2" refType="h" fact="0.0865"/>
                  <dgm:constr type="w" for="ch" forName="parentText2" refType="w" fact="0.8152"/>
                  <dgm:constr type="h" for="ch" forName="parentText2" refType="h" fact="0.2594"/>
                  <dgm:constr type="l" for="ch" forName="parentText3" refType="w" fact="0"/>
                  <dgm:constr type="t" for="ch" forName="parentText3" refType="h" fact="0.173"/>
                  <dgm:constr type="w" for="ch" forName="parentText3" refType="w" fact="0.6304"/>
                  <dgm:constr type="h" for="ch" forName="parentText3" refType="h" fact="0.2594"/>
                  <dgm:constr type="l" for="ch" forName="parentText4" refType="w" fact="0"/>
                  <dgm:constr type="t" for="ch" forName="parentText4" refType="h" fact="0.2595"/>
                  <dgm:constr type="w" for="ch" forName="parentText4" refType="w" fact="0.4455"/>
                  <dgm:constr type="h" for="ch" forName="parentText4" refType="h" fact="0.2594"/>
                  <dgm:constr type="l" for="ch" forName="parentText5" refType="w" fact="0"/>
                  <dgm:constr type="t" for="ch" forName="parentText5" refType="h" fact="0.346"/>
                  <dgm:constr type="w" for="ch" forName="parentText5" refType="w" fact="0.2607"/>
                  <dgm:constr type="h" for="ch" forName="parentText5" refType="h" fact="0.2594"/>
                </dgm:constrLst>
              </dgm:else>
            </dgm:choose>
          </dgm:else>
        </dgm:choose>
      </dgm:else>
    </dgm:choose>
    <dgm:forEach name="Name52" axis="ch" ptType="node" cnt="1">
      <dgm:layoutNode name="parentText1" styleLbl="node1">
        <dgm:varLst>
          <dgm:chMax/>
          <dgm:chPref val="3"/>
          <dgm:bulletEnabled val="1"/>
        </dgm:varLst>
        <dgm:choose name="Name53">
          <dgm:if name="Name54"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55">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56">
        <dgm:if name="Name57" axis="ch" ptType="node" func="cnt" op="gte" val="1">
          <dgm:layoutNode name="childText1"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8"/>
      </dgm:choose>
    </dgm:forEach>
    <dgm:forEach name="Name59" axis="ch" ptType="node" st="2" cnt="1">
      <dgm:layoutNode name="parentText2" styleLbl="node1">
        <dgm:varLst>
          <dgm:chMax/>
          <dgm:chPref val="3"/>
          <dgm:bulletEnabled val="1"/>
        </dgm:varLst>
        <dgm:choose name="Name60">
          <dgm:if name="Name61"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62">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63">
        <dgm:if name="Name64" axis="ch" ptType="node" func="cnt" op="gte" val="1">
          <dgm:layoutNode name="childText2"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5"/>
      </dgm:choose>
    </dgm:forEach>
    <dgm:forEach name="Name66" axis="ch" ptType="node" st="3" cnt="1">
      <dgm:layoutNode name="parentText3" styleLbl="node1">
        <dgm:varLst>
          <dgm:chMax/>
          <dgm:chPref val="3"/>
          <dgm:bulletEnabled val="1"/>
        </dgm:varLst>
        <dgm:choose name="Name67">
          <dgm:if name="Name68"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69">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70">
        <dgm:if name="Name71" axis="ch" ptType="node" func="cnt" op="gte" val="1">
          <dgm:layoutNode name="childText3"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2"/>
      </dgm:choose>
    </dgm:forEach>
    <dgm:forEach name="Name73" axis="ch" ptType="node" st="4" cnt="1">
      <dgm:layoutNode name="parentText4" styleLbl="node1">
        <dgm:varLst>
          <dgm:chMax/>
          <dgm:chPref val="3"/>
          <dgm:bulletEnabled val="1"/>
        </dgm:varLst>
        <dgm:choose name="Name74">
          <dgm:if name="Name75"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76">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77">
        <dgm:if name="Name78" axis="ch" ptType="node" func="cnt" op="gte" val="1">
          <dgm:layoutNode name="childText4"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9"/>
      </dgm:choose>
    </dgm:forEach>
    <dgm:forEach name="Name80" axis="ch" ptType="node" st="5" cnt="1">
      <dgm:layoutNode name="parentText5" styleLbl="node1">
        <dgm:varLst>
          <dgm:chMax/>
          <dgm:chPref val="3"/>
          <dgm:bulletEnabled val="1"/>
        </dgm:varLst>
        <dgm:choose name="Name81">
          <dgm:if name="Name82"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83">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84">
        <dgm:if name="Name85" axis="ch" ptType="node" func="cnt" op="gte" val="1">
          <dgm:layoutNode name="childText5"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Έγγραφο" ma:contentTypeID="0x010100C249B253E6EAB5408D1151DB35A9839A" ma:contentTypeVersion="6" ma:contentTypeDescription="Δημιουργία νέου εγγράφου" ma:contentTypeScope="" ma:versionID="6aeab5771371c38c4ac848fe3568419e">
  <xsd:schema xmlns:xsd="http://www.w3.org/2001/XMLSchema" xmlns:xs="http://www.w3.org/2001/XMLSchema" xmlns:p="http://schemas.microsoft.com/office/2006/metadata/properties" xmlns:ns2="f4e6966a-4440-4e5d-8177-5ce64b36518e" xmlns:ns3="6d59cbe0-14be-4db5-9580-20d94b42cc86" targetNamespace="http://schemas.microsoft.com/office/2006/metadata/properties" ma:root="true" ma:fieldsID="788c6464d66a702b2f7db3245b853030" ns2:_="" ns3:_="">
    <xsd:import namespace="f4e6966a-4440-4e5d-8177-5ce64b36518e"/>
    <xsd:import namespace="6d59cbe0-14be-4db5-9580-20d94b42cc8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e6966a-4440-4e5d-8177-5ce64b3651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59cbe0-14be-4db5-9580-20d94b42cc86" elementFormDefault="qualified">
    <xsd:import namespace="http://schemas.microsoft.com/office/2006/documentManagement/types"/>
    <xsd:import namespace="http://schemas.microsoft.com/office/infopath/2007/PartnerControls"/>
    <xsd:element name="SharedWithUsers" ma:index="12"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Κοινή χρήση με λεπτομέρειες"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5921EF-4752-4A9C-B7ED-3B42C82843F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E75FCBC-3432-4499-B8B7-E6EDF21801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e6966a-4440-4e5d-8177-5ce64b36518e"/>
    <ds:schemaRef ds:uri="6d59cbe0-14be-4db5-9580-20d94b42cc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60B45E-9F40-483D-82D7-3FD3DD1C99CF}">
  <ds:schemaRefs>
    <ds:schemaRef ds:uri="http://schemas.microsoft.com/sharepoint/v3/contenttype/forms"/>
  </ds:schemaRefs>
</ds:datastoreItem>
</file>

<file path=customXml/itemProps4.xml><?xml version="1.0" encoding="utf-8"?>
<ds:datastoreItem xmlns:ds="http://schemas.openxmlformats.org/officeDocument/2006/customXml" ds:itemID="{D0A659E1-6579-4B7B-86BC-1E7558315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5179</Words>
  <Characters>27967</Characters>
  <DocSecurity>0</DocSecurity>
  <Lines>233</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2021-09-21T09:54:00Z</cp:lastPrinted>
  <dcterms:created xsi:type="dcterms:W3CDTF">2021-09-21T11:04:00Z</dcterms:created>
  <dcterms:modified xsi:type="dcterms:W3CDTF">2021-09-21T11:04:00Z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0x010100C249B253E6EAB5408D1151DB35A9839A</vt:lpwstr>
  </property>
  <property fmtid="{D5CDD505-2E9C-101B-9397-08002B2CF9AE}" pid="3" name="MSIP_Label_ea60d57e-af5b-4752-ac57-3e4f28ca11dc_Enabled">
    <vt:lpwstr>true</vt:lpwstr>
  </property>
  <property fmtid="{D5CDD505-2E9C-101B-9397-08002B2CF9AE}" pid="4" name="MSIP_Label_ea60d57e-af5b-4752-ac57-3e4f28ca11dc_SetDate">
    <vt:lpwstr>2021-07-01T04:34:30Z</vt:lpwstr>
  </property>
  <property fmtid="{D5CDD505-2E9C-101B-9397-08002B2CF9AE}" pid="5" name="MSIP_Label_ea60d57e-af5b-4752-ac57-3e4f28ca11dc_Method">
    <vt:lpwstr>Standard</vt:lpwstr>
  </property>
  <property fmtid="{D5CDD505-2E9C-101B-9397-08002B2CF9AE}" pid="6" name="MSIP_Label_ea60d57e-af5b-4752-ac57-3e4f28ca11dc_Name">
    <vt:lpwstr>ea60d57e-af5b-4752-ac57-3e4f28ca11dc</vt:lpwstr>
  </property>
  <property fmtid="{D5CDD505-2E9C-101B-9397-08002B2CF9AE}" pid="7" name="MSIP_Label_ea60d57e-af5b-4752-ac57-3e4f28ca11dc_SiteId">
    <vt:lpwstr>36da45f1-dd2c-4d1f-af13-5abe46b99921</vt:lpwstr>
  </property>
  <property fmtid="{D5CDD505-2E9C-101B-9397-08002B2CF9AE}" pid="8" name="MSIP_Label_ea60d57e-af5b-4752-ac57-3e4f28ca11dc_ActionId">
    <vt:lpwstr>82b0155b-52c1-4855-a19b-ec7ac8e782a8</vt:lpwstr>
  </property>
  <property fmtid="{D5CDD505-2E9C-101B-9397-08002B2CF9AE}" pid="9" name="MSIP_Label_ea60d57e-af5b-4752-ac57-3e4f28ca11dc_ContentBits">
    <vt:lpwstr>0</vt:lpwstr>
  </property>
</Properties>
</file>