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AB" w:rsidRPr="002A3DAA" w:rsidRDefault="00361F11" w:rsidP="00A41DAB">
      <w:pPr>
        <w:jc w:val="both"/>
        <w:rPr>
          <w:rFonts w:ascii="Arial Narrow" w:hAnsi="Arial Narrow"/>
          <w:b/>
          <w:color w:val="000080"/>
          <w:sz w:val="40"/>
          <w:szCs w:val="40"/>
        </w:rPr>
      </w:pPr>
      <w:r w:rsidRPr="002A3DAA">
        <w:rPr>
          <w:rFonts w:ascii="Arial Narrow" w:hAnsi="Arial Narrow"/>
          <w:b/>
          <w:color w:val="000080"/>
          <w:sz w:val="40"/>
          <w:szCs w:val="40"/>
        </w:rPr>
        <w:t xml:space="preserve">ΟΙΚΟΝΟΜΙΚΕΣ </w:t>
      </w:r>
      <w:r w:rsidR="00A41DAB" w:rsidRPr="002A3DAA">
        <w:rPr>
          <w:rFonts w:ascii="Arial Narrow" w:hAnsi="Arial Narrow"/>
          <w:b/>
          <w:color w:val="000080"/>
          <w:sz w:val="40"/>
          <w:szCs w:val="40"/>
        </w:rPr>
        <w:t>ΕΞΕΛΙΞΕΙΣ</w:t>
      </w:r>
    </w:p>
    <w:p w:rsidR="00A41DAB" w:rsidRPr="002A3DAA" w:rsidRDefault="00A41DAB" w:rsidP="00A41DAB">
      <w:pPr>
        <w:jc w:val="both"/>
        <w:rPr>
          <w:rFonts w:ascii="Arial Narrow" w:hAnsi="Arial Narrow"/>
          <w:b/>
          <w:color w:val="000080"/>
          <w:sz w:val="40"/>
          <w:szCs w:val="40"/>
        </w:rPr>
      </w:pPr>
      <w:r w:rsidRPr="002A3DAA">
        <w:rPr>
          <w:rFonts w:ascii="Arial Narrow" w:hAnsi="Arial Narrow"/>
          <w:b/>
          <w:color w:val="000080"/>
          <w:sz w:val="40"/>
          <w:szCs w:val="40"/>
        </w:rPr>
        <w:t>ΚΑΙ ΠΡΟΟΠΤΙΚΕΣ</w:t>
      </w:r>
    </w:p>
    <w:p w:rsidR="00A41DAB" w:rsidRPr="00472EC7" w:rsidRDefault="00A41DAB" w:rsidP="00A41DAB">
      <w:pPr>
        <w:jc w:val="both"/>
        <w:rPr>
          <w:rFonts w:ascii="Arial Narrow" w:hAnsi="Arial Narrow"/>
          <w:color w:val="000080"/>
          <w:sz w:val="40"/>
          <w:szCs w:val="40"/>
        </w:rPr>
      </w:pPr>
    </w:p>
    <w:p w:rsidR="006E2D30" w:rsidRPr="00472EC7" w:rsidRDefault="00A41DAB" w:rsidP="00E5576A">
      <w:pPr>
        <w:shd w:val="clear" w:color="auto" w:fill="595959"/>
        <w:jc w:val="both"/>
        <w:rPr>
          <w:rFonts w:ascii="Arial Narrow" w:hAnsi="Arial Narrow"/>
          <w:b/>
          <w:color w:val="FFFFFF"/>
          <w:sz w:val="26"/>
          <w:szCs w:val="26"/>
        </w:rPr>
      </w:pPr>
      <w:r w:rsidRPr="00472EC7">
        <w:rPr>
          <w:rFonts w:ascii="Arial Narrow" w:hAnsi="Arial Narrow"/>
          <w:b/>
          <w:color w:val="FFFFFF"/>
          <w:sz w:val="26"/>
          <w:szCs w:val="26"/>
        </w:rPr>
        <w:t>1.</w:t>
      </w:r>
      <w:r w:rsidRPr="00472EC7">
        <w:rPr>
          <w:rFonts w:ascii="Arial Narrow" w:hAnsi="Arial Narrow"/>
          <w:b/>
          <w:color w:val="FFFFFF"/>
          <w:sz w:val="26"/>
          <w:szCs w:val="26"/>
        </w:rPr>
        <w:tab/>
        <w:t>Διεθνείς οικονομικές εξελίξεις</w:t>
      </w:r>
    </w:p>
    <w:p w:rsidR="00A41DAB" w:rsidRPr="007508DE" w:rsidRDefault="00A41DAB" w:rsidP="00A41DAB">
      <w:pPr>
        <w:jc w:val="both"/>
        <w:rPr>
          <w:rFonts w:ascii="Arial Narrow" w:hAnsi="Arial Narrow"/>
          <w:b/>
          <w:color w:val="000080"/>
          <w:sz w:val="20"/>
        </w:rPr>
      </w:pPr>
    </w:p>
    <w:p w:rsidR="0006551E" w:rsidRDefault="0006551E" w:rsidP="0006551E">
      <w:pPr>
        <w:pStyle w:val="normal"/>
        <w:jc w:val="both"/>
      </w:pPr>
      <w:r>
        <w:rPr>
          <w:rFonts w:ascii="Arial Narrow" w:eastAsia="Arial Narrow" w:hAnsi="Arial Narrow" w:cs="Arial Narrow"/>
          <w:b/>
          <w:color w:val="000080"/>
        </w:rPr>
        <w:t>Εξελίξεις στο διεθνές οικονομικό περιβάλλον</w:t>
      </w:r>
    </w:p>
    <w:p w:rsidR="0006551E" w:rsidRPr="00D07E16" w:rsidRDefault="0006551E" w:rsidP="0006551E">
      <w:pPr>
        <w:pStyle w:val="normal"/>
        <w:jc w:val="both"/>
        <w:rPr>
          <w:sz w:val="22"/>
        </w:rPr>
      </w:pPr>
    </w:p>
    <w:p w:rsidR="00847827" w:rsidRPr="00847827" w:rsidRDefault="00847827" w:rsidP="00847827">
      <w:pPr>
        <w:pStyle w:val="normal"/>
        <w:jc w:val="both"/>
        <w:rPr>
          <w:sz w:val="22"/>
        </w:rPr>
      </w:pPr>
      <w:r w:rsidRPr="00847827">
        <w:rPr>
          <w:sz w:val="22"/>
        </w:rPr>
        <w:t>Η επιβράδυνση της πορείας του ΑΕΠ στις αναπτυσσόμενες οικονομίες και η ακόμα ασθενής ανάπτ</w:t>
      </w:r>
      <w:r w:rsidRPr="00847827">
        <w:rPr>
          <w:sz w:val="22"/>
        </w:rPr>
        <w:t>υ</w:t>
      </w:r>
      <w:r w:rsidRPr="00847827">
        <w:rPr>
          <w:sz w:val="22"/>
        </w:rPr>
        <w:t>ξη των ανεπτυγμένων χωρών έχουν οδηγήσει, κατά το τελευταίο έτος, σε πιο συντηρητική θεώρηση των βραχυπρόθεσμων προβλέψεων για το παγκόσμιο ΑΕΠ. Έπειτα από τέσσερις προς τα κάτω αν</w:t>
      </w:r>
      <w:r w:rsidRPr="00847827">
        <w:rPr>
          <w:sz w:val="22"/>
        </w:rPr>
        <w:t>α</w:t>
      </w:r>
      <w:r w:rsidRPr="00847827">
        <w:rPr>
          <w:sz w:val="22"/>
        </w:rPr>
        <w:t>θεωρήσεις σε σχέση με τις αντίστοιχες προβλέψεις του Ιουλίου 2015, η έκθεση Οκτωβρίου 2016 του Διεθνούς Νομισματικού Ταμείου</w:t>
      </w:r>
      <w:r w:rsidRPr="00847827">
        <w:rPr>
          <w:sz w:val="22"/>
          <w:vertAlign w:val="superscript"/>
        </w:rPr>
        <w:footnoteReference w:id="1"/>
      </w:r>
      <w:r w:rsidRPr="00847827">
        <w:rPr>
          <w:sz w:val="22"/>
        </w:rPr>
        <w:t xml:space="preserve"> προβλέπει ρυθμό παγκόσμιας ανάπτυξης ίσο με 3,1% το 2016 (μι</w:t>
      </w:r>
      <w:r w:rsidRPr="00847827">
        <w:rPr>
          <w:sz w:val="22"/>
        </w:rPr>
        <w:t>κ</w:t>
      </w:r>
      <w:r w:rsidRPr="00847827">
        <w:rPr>
          <w:sz w:val="22"/>
        </w:rPr>
        <w:t xml:space="preserve">ρότερο κατά 0,1 εκατοστιαία μονάδα έναντι του αναθεωρημένου ρυθμού του 2015 και της πρόβλεψης του Απριλίου 2016) και 3,4% το 2017 (πίνακας 1.1). </w:t>
      </w:r>
    </w:p>
    <w:p w:rsidR="00847827" w:rsidRPr="00847827" w:rsidRDefault="00847827" w:rsidP="00847827">
      <w:pPr>
        <w:pStyle w:val="normal"/>
        <w:jc w:val="both"/>
        <w:rPr>
          <w:sz w:val="22"/>
        </w:rPr>
      </w:pPr>
    </w:p>
    <w:p w:rsidR="00847827" w:rsidRDefault="00847827" w:rsidP="00847827">
      <w:pPr>
        <w:pStyle w:val="normal"/>
        <w:jc w:val="both"/>
        <w:rPr>
          <w:sz w:val="22"/>
        </w:rPr>
      </w:pPr>
      <w:r w:rsidRPr="00847827">
        <w:rPr>
          <w:sz w:val="22"/>
        </w:rPr>
        <w:t>Σε μεσοπρόθεσμο ορίζοντα, η πρόβλεψη για μετριοπαθή αλλά αυξητική τάση του παγκόσμιου ΑΕΠ στηρίζεται στη δυναμική των αναπτυσσόμενων οικονομιών. Σε αυτή τη δυναμική συν</w:t>
      </w:r>
      <w:r w:rsidR="00FB1D92">
        <w:rPr>
          <w:sz w:val="22"/>
        </w:rPr>
        <w:t>εισφέρουν</w:t>
      </w:r>
      <w:r w:rsidRPr="00847827">
        <w:rPr>
          <w:sz w:val="22"/>
        </w:rPr>
        <w:t xml:space="preserve"> από τη μία πλευρά, η νέα ροή κεφαλαίων προς τις αναδυόμενες αγορές, ως αποτέλεσμα των πολύ χαμ</w:t>
      </w:r>
      <w:r w:rsidRPr="00847827">
        <w:rPr>
          <w:sz w:val="22"/>
        </w:rPr>
        <w:t>η</w:t>
      </w:r>
      <w:r w:rsidRPr="00847827">
        <w:rPr>
          <w:sz w:val="22"/>
        </w:rPr>
        <w:t>λών επιτοκίων και της αυξανόμενης αβεβαιότητας στις ανεπτυγμένες οικονομίες και, από την άλλη πλευρά, τα μακ</w:t>
      </w:r>
      <w:r w:rsidR="006E44AA">
        <w:rPr>
          <w:sz w:val="22"/>
        </w:rPr>
        <w:t>ροοικονομικά μέτρα τόνωσης της κ</w:t>
      </w:r>
      <w:r w:rsidRPr="00847827">
        <w:rPr>
          <w:sz w:val="22"/>
        </w:rPr>
        <w:t xml:space="preserve">ινεζικής οικονομίας, τα οποία εκτιμάται ότι θα </w:t>
      </w:r>
      <w:r w:rsidR="00E63E6B">
        <w:rPr>
          <w:sz w:val="22"/>
        </w:rPr>
        <w:t>δι</w:t>
      </w:r>
      <w:r w:rsidR="00E63E6B">
        <w:rPr>
          <w:sz w:val="22"/>
        </w:rPr>
        <w:t>α</w:t>
      </w:r>
      <w:r w:rsidR="00E63E6B">
        <w:rPr>
          <w:sz w:val="22"/>
        </w:rPr>
        <w:t xml:space="preserve">τηρήσουν </w:t>
      </w:r>
      <w:r w:rsidRPr="00847827">
        <w:rPr>
          <w:sz w:val="22"/>
        </w:rPr>
        <w:t>το ρυθμό μεγέθ</w:t>
      </w:r>
      <w:r w:rsidR="00E63E6B">
        <w:rPr>
          <w:sz w:val="22"/>
        </w:rPr>
        <w:t>υνσή</w:t>
      </w:r>
      <w:r w:rsidR="006E44AA">
        <w:rPr>
          <w:sz w:val="22"/>
        </w:rPr>
        <w:t>ς της σημαντικά πάνω από το</w:t>
      </w:r>
      <w:r w:rsidRPr="00847827">
        <w:rPr>
          <w:sz w:val="22"/>
        </w:rPr>
        <w:t xml:space="preserve"> μέσ</w:t>
      </w:r>
      <w:r w:rsidR="004A5B4F">
        <w:rPr>
          <w:sz w:val="22"/>
        </w:rPr>
        <w:t>ο όρο των αναπτυσσόμενων χωρών.</w:t>
      </w:r>
    </w:p>
    <w:p w:rsidR="004A5B4F" w:rsidRDefault="004A5B4F" w:rsidP="00847827">
      <w:pPr>
        <w:pStyle w:val="normal"/>
        <w:jc w:val="both"/>
        <w:rPr>
          <w:sz w:val="22"/>
        </w:rPr>
      </w:pPr>
    </w:p>
    <w:p w:rsidR="004A5B4F" w:rsidRPr="004A5B4F" w:rsidRDefault="002D25DD" w:rsidP="00847827">
      <w:pPr>
        <w:pStyle w:val="normal"/>
        <w:jc w:val="both"/>
        <w:rPr>
          <w:sz w:val="22"/>
          <w:szCs w:val="22"/>
        </w:rPr>
      </w:pPr>
      <w:r>
        <w:rPr>
          <w:sz w:val="22"/>
          <w:szCs w:val="22"/>
        </w:rPr>
        <w:t xml:space="preserve">Η </w:t>
      </w:r>
      <w:r w:rsidR="004A5B4F" w:rsidRPr="004A5B4F">
        <w:rPr>
          <w:sz w:val="22"/>
          <w:szCs w:val="22"/>
        </w:rPr>
        <w:t>εμπορική και η δημοσιονομική πολιτική που πρόκειται να ακολουθήσουν οι Ηνωμένες Πολιτείες της Αμερικής τα αμέσως προσεχή έτη αποτελούν μεσοπρόθεσμα μία εν δυνάμει πρόσθετη πηγή κι</w:t>
      </w:r>
      <w:r w:rsidR="004A5B4F" w:rsidRPr="004A5B4F">
        <w:rPr>
          <w:sz w:val="22"/>
          <w:szCs w:val="22"/>
        </w:rPr>
        <w:t>ν</w:t>
      </w:r>
      <w:r w:rsidR="004A5B4F" w:rsidRPr="004A5B4F">
        <w:rPr>
          <w:sz w:val="22"/>
          <w:szCs w:val="22"/>
        </w:rPr>
        <w:t>δύνων για την παγκόσμια οικονομία. Η ενδεχόμενη επιβολή δασμών στις εμπορικές συναλλαγές των ΗΠΑ με αναδυόμενες οικονομίες όπως η Κίνα και το Μεξικό, θα είχε ως αποτέλεσμα τον περιορισμό του ελεύθερου εμπορίου με αρνητικές συνέπειες τόσο στο πραγματικό όσο και στο δυνητικό προϊόν των οικονομιών αυτών και με συνακόλουθες επιπτώσεις στη παγκόσμια οικονομία. Επιπλέον, η ενδ</w:t>
      </w:r>
      <w:r w:rsidR="004A5B4F" w:rsidRPr="004A5B4F">
        <w:rPr>
          <w:sz w:val="22"/>
          <w:szCs w:val="22"/>
        </w:rPr>
        <w:t>ε</w:t>
      </w:r>
      <w:r w:rsidR="004A5B4F" w:rsidRPr="004A5B4F">
        <w:rPr>
          <w:sz w:val="22"/>
          <w:szCs w:val="22"/>
        </w:rPr>
        <w:t>χόμενη αύξηση των δημοσίων δαπανών σε συνδυασμό με επιθετική μείωση των φορολογικών συντ</w:t>
      </w:r>
      <w:r w:rsidR="004A5B4F" w:rsidRPr="004A5B4F">
        <w:rPr>
          <w:sz w:val="22"/>
          <w:szCs w:val="22"/>
        </w:rPr>
        <w:t>ε</w:t>
      </w:r>
      <w:r w:rsidR="004A5B4F" w:rsidRPr="004A5B4F">
        <w:rPr>
          <w:sz w:val="22"/>
          <w:szCs w:val="22"/>
        </w:rPr>
        <w:t xml:space="preserve">λεστών και εσόδων του προϋπολογισμού των Ηνωμένων Πολιτειών της Αμερικής θα επιδείνωνε το δημοσιονομικό </w:t>
      </w:r>
      <w:r w:rsidR="00C92500" w:rsidRPr="004A5B4F">
        <w:rPr>
          <w:sz w:val="22"/>
          <w:szCs w:val="22"/>
        </w:rPr>
        <w:t>έλλειμμα</w:t>
      </w:r>
      <w:r w:rsidR="004A5B4F" w:rsidRPr="004A5B4F">
        <w:rPr>
          <w:sz w:val="22"/>
          <w:szCs w:val="22"/>
        </w:rPr>
        <w:t xml:space="preserve"> και το </w:t>
      </w:r>
      <w:r w:rsidR="00C92500" w:rsidRPr="004A5B4F">
        <w:rPr>
          <w:sz w:val="22"/>
          <w:szCs w:val="22"/>
        </w:rPr>
        <w:t>έλλειμμα</w:t>
      </w:r>
      <w:r w:rsidR="004A5B4F" w:rsidRPr="004A5B4F">
        <w:rPr>
          <w:sz w:val="22"/>
          <w:szCs w:val="22"/>
        </w:rPr>
        <w:t xml:space="preserve"> του εμπορικού ισοζυγίου των ΗΠΑ και θα υποχρέωνε την ανεξάρτητη Ομοσπονδιακή Κεντρική Τράπεζα της χώρας να αυξήσει τα επιτόκια επιθετικότερα από ότι προβλεπόταν, με αρνητικές συνέπειες στις συνθήκες ρευστότητας των αναδυόμενων οικονομιών αλλά και της Ευρώπης. Αν και οι κίνδυνοι αυτοί παραμένουν για την ώρα υποθετ</w:t>
      </w:r>
      <w:r w:rsidR="004A5B4F">
        <w:rPr>
          <w:sz w:val="22"/>
          <w:szCs w:val="22"/>
        </w:rPr>
        <w:t>ικοί, έχουν εν μέρει προεξοφληθεί και τείνουν σε αύξηση των μακροχρόνιων επιτοκίων δανεισμού.</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Επιμέρους παράγοντες που επιδρούν στη διαμόρφωση του παγκόσμιου ρυθμού μεγέθυνσης είναι:</w:t>
      </w:r>
    </w:p>
    <w:p w:rsidR="00847827" w:rsidRPr="00847827" w:rsidRDefault="00847827" w:rsidP="00847827">
      <w:pPr>
        <w:pStyle w:val="normal"/>
        <w:jc w:val="both"/>
        <w:rPr>
          <w:sz w:val="22"/>
        </w:rPr>
      </w:pPr>
    </w:p>
    <w:p w:rsidR="00847827" w:rsidRPr="00847827" w:rsidRDefault="00847827" w:rsidP="006E44AA">
      <w:pPr>
        <w:pStyle w:val="normal"/>
        <w:numPr>
          <w:ilvl w:val="0"/>
          <w:numId w:val="14"/>
        </w:numPr>
        <w:ind w:left="284" w:hanging="284"/>
        <w:jc w:val="both"/>
        <w:rPr>
          <w:sz w:val="22"/>
        </w:rPr>
      </w:pPr>
      <w:r w:rsidRPr="00847827">
        <w:rPr>
          <w:sz w:val="22"/>
        </w:rPr>
        <w:t>η εκτιμώμενη ανάκαμψη, από το 2017, στις τιμές των βασικών εμπορευμάτων, και ειδικά στη δι</w:t>
      </w:r>
      <w:r w:rsidRPr="00847827">
        <w:rPr>
          <w:sz w:val="22"/>
        </w:rPr>
        <w:t>ε</w:t>
      </w:r>
      <w:r w:rsidRPr="00847827">
        <w:rPr>
          <w:sz w:val="22"/>
        </w:rPr>
        <w:t xml:space="preserve">θνή τιμή του πετρελαίου, με την επίδραση που </w:t>
      </w:r>
      <w:r w:rsidR="00FB1D92">
        <w:rPr>
          <w:sz w:val="22"/>
        </w:rPr>
        <w:t xml:space="preserve">αναμένεται να </w:t>
      </w:r>
      <w:r w:rsidRPr="00847827">
        <w:rPr>
          <w:sz w:val="22"/>
        </w:rPr>
        <w:t>έχει στο ισοζύγιο αγαθών και τον πληθωρισμό των εισαγωγικών χωρών,</w:t>
      </w:r>
    </w:p>
    <w:p w:rsidR="00847827" w:rsidRPr="00847827" w:rsidRDefault="00847827" w:rsidP="006E44AA">
      <w:pPr>
        <w:pStyle w:val="normal"/>
        <w:numPr>
          <w:ilvl w:val="0"/>
          <w:numId w:val="14"/>
        </w:numPr>
        <w:ind w:left="284" w:hanging="284"/>
        <w:jc w:val="both"/>
        <w:rPr>
          <w:sz w:val="22"/>
        </w:rPr>
      </w:pPr>
      <w:r w:rsidRPr="00847827">
        <w:rPr>
          <w:sz w:val="22"/>
        </w:rPr>
        <w:t>η συγκρατημένη ανάπτυξη του παγκόσμιου εμπορίου, του οποίου ο όγκος αναμένεται να αυξηθεί κατά 2,3% το 2016 έναντι της περσινής πρόβλεψης για αύξηση 4,1% σε ετήσια βάση,</w:t>
      </w:r>
    </w:p>
    <w:p w:rsidR="00847827" w:rsidRPr="00847827" w:rsidRDefault="00847827" w:rsidP="006E44AA">
      <w:pPr>
        <w:pStyle w:val="normal"/>
        <w:numPr>
          <w:ilvl w:val="0"/>
          <w:numId w:val="14"/>
        </w:numPr>
        <w:ind w:left="284" w:hanging="284"/>
        <w:jc w:val="both"/>
        <w:rPr>
          <w:sz w:val="22"/>
        </w:rPr>
      </w:pPr>
      <w:r w:rsidRPr="00847827">
        <w:rPr>
          <w:sz w:val="22"/>
        </w:rPr>
        <w:t xml:space="preserve">η επίπτωση του αποτελέσματος του δημοψηφίσματος στο Ηνωμένο Βασίλειο υπέρ της εξόδου από την Ευρωπαϊκή Ένωση, τόσο σε όρους αύξησης της οικονομικής και πολιτικής αβεβαιότητας όσο και σε όρους δυνητικής αύξησης της εσωστρέφειας σε επίπεδο κρατών-μελών της Ένωσης, </w:t>
      </w:r>
    </w:p>
    <w:p w:rsidR="00847827" w:rsidRPr="00847827" w:rsidRDefault="00847827" w:rsidP="006E44AA">
      <w:pPr>
        <w:pStyle w:val="normal"/>
        <w:numPr>
          <w:ilvl w:val="0"/>
          <w:numId w:val="14"/>
        </w:numPr>
        <w:ind w:left="284" w:hanging="284"/>
        <w:jc w:val="both"/>
        <w:rPr>
          <w:sz w:val="22"/>
        </w:rPr>
      </w:pPr>
      <w:r w:rsidRPr="00847827">
        <w:rPr>
          <w:sz w:val="22"/>
        </w:rPr>
        <w:t>οι δημογραφικές εξελίξεις και οι τάσεις στις αγορές εργασίας των ανεπτυγμένων χωρών, που σε συνδυασμό με την επιβραδυνόμενη αύξηση της παραγωγικότητας θέτ</w:t>
      </w:r>
      <w:r w:rsidR="00E63E6B">
        <w:rPr>
          <w:sz w:val="22"/>
        </w:rPr>
        <w:t xml:space="preserve">ουν </w:t>
      </w:r>
      <w:r w:rsidRPr="00847827">
        <w:rPr>
          <w:sz w:val="22"/>
        </w:rPr>
        <w:t>εμπόδια στην εισοδημ</w:t>
      </w:r>
      <w:r w:rsidRPr="00847827">
        <w:rPr>
          <w:sz w:val="22"/>
        </w:rPr>
        <w:t>α</w:t>
      </w:r>
      <w:r w:rsidRPr="00847827">
        <w:rPr>
          <w:sz w:val="22"/>
        </w:rPr>
        <w:t xml:space="preserve">τική μεγέθυνση και </w:t>
      </w:r>
    </w:p>
    <w:p w:rsidR="00847827" w:rsidRPr="00847827" w:rsidRDefault="00847827" w:rsidP="006E44AA">
      <w:pPr>
        <w:pStyle w:val="normal"/>
        <w:numPr>
          <w:ilvl w:val="0"/>
          <w:numId w:val="14"/>
        </w:numPr>
        <w:ind w:left="284" w:hanging="284"/>
        <w:jc w:val="both"/>
        <w:rPr>
          <w:sz w:val="22"/>
        </w:rPr>
      </w:pPr>
      <w:r w:rsidRPr="00847827">
        <w:rPr>
          <w:sz w:val="22"/>
        </w:rPr>
        <w:lastRenderedPageBreak/>
        <w:t xml:space="preserve">η ενίσχυση της πιθανότητας για την πραγματοποίηση ενδεχομένων που σήμερα εμφανίζονται ως </w:t>
      </w:r>
      <w:r w:rsidR="00FB1D92">
        <w:rPr>
          <w:sz w:val="22"/>
        </w:rPr>
        <w:t xml:space="preserve">δυνητικοί </w:t>
      </w:r>
      <w:r w:rsidRPr="00847827">
        <w:rPr>
          <w:sz w:val="22"/>
        </w:rPr>
        <w:t xml:space="preserve">παράγοντες κινδύνου για την πορεία του παγκόσμιου ΑΕΠ. </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 xml:space="preserve">Από την άλλη πλευρά, το πρώτο εξάμηνο του 2016 περιορίστηκε σημαντικά η μεταβλητότητα στις διεθνείς χρηματοοικονομικές αγορές, οι οποίες συν τοις άλλοις αντέδρασαν νηφάλια στην απόφαση του Ηνωμένου Βασιλείου για έξοδο από την ΕΕ.  Επίσης θετικές επιδράσεις είχαν η μικρή αυξητική τάση της τιμής του πετρελαίου σε εξαγωγικές χώρες όπως η Βραζιλία και η Ρωσία, η </w:t>
      </w:r>
      <w:r w:rsidR="00FB1D92">
        <w:rPr>
          <w:sz w:val="22"/>
        </w:rPr>
        <w:t xml:space="preserve">ήπια </w:t>
      </w:r>
      <w:r w:rsidRPr="00847827">
        <w:rPr>
          <w:sz w:val="22"/>
        </w:rPr>
        <w:t>επεκτατι</w:t>
      </w:r>
      <w:r w:rsidR="006E44AA">
        <w:rPr>
          <w:sz w:val="22"/>
        </w:rPr>
        <w:t>κή δημοσιονομική πολιτική στον ε</w:t>
      </w:r>
      <w:r w:rsidRPr="00847827">
        <w:rPr>
          <w:sz w:val="22"/>
        </w:rPr>
        <w:t>υρωπαϊκό χώρο, και η συνεχιζόμενη ποσοτική χαλάρωση που εφα</w:t>
      </w:r>
      <w:r w:rsidRPr="00847827">
        <w:rPr>
          <w:sz w:val="22"/>
        </w:rPr>
        <w:t>ρ</w:t>
      </w:r>
      <w:r w:rsidRPr="00847827">
        <w:rPr>
          <w:sz w:val="22"/>
        </w:rPr>
        <w:t>μόστηκε από την Ευρωπαϊκή Κεντρική Τράπεζα στην Ευρωζώνη.</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 xml:space="preserve">Ο παγκόσμιος πληθωρισμός αναμένεται να αυξηθεί με αργό ρυθμό, δεδομένης της περιορισμένης </w:t>
      </w:r>
      <w:r w:rsidRPr="00847827">
        <w:rPr>
          <w:sz w:val="22"/>
        </w:rPr>
        <w:t>α</w:t>
      </w:r>
      <w:r w:rsidRPr="00847827">
        <w:rPr>
          <w:sz w:val="22"/>
        </w:rPr>
        <w:t>νάκαμψης των διεθνών τιμών των εμπορευμάτων το 2016 και το 2017, και ειδικότερα των τιμών στον κλάδο της ενέργειας. Σύμφωνα με το ΔΝΤ, η μέση τιμή του αργού πετρελαίου (</w:t>
      </w:r>
      <w:r w:rsidRPr="00847827">
        <w:rPr>
          <w:sz w:val="22"/>
          <w:lang w:val="en-US"/>
        </w:rPr>
        <w:t>UK</w:t>
      </w:r>
      <w:r w:rsidRPr="00847827">
        <w:rPr>
          <w:sz w:val="22"/>
        </w:rPr>
        <w:t xml:space="preserve"> </w:t>
      </w:r>
      <w:r w:rsidRPr="00847827">
        <w:rPr>
          <w:sz w:val="22"/>
          <w:lang w:val="en-US"/>
        </w:rPr>
        <w:t>Brent</w:t>
      </w:r>
      <w:r w:rsidRPr="00847827">
        <w:rPr>
          <w:sz w:val="22"/>
        </w:rPr>
        <w:t xml:space="preserve">, </w:t>
      </w:r>
      <w:r w:rsidRPr="00847827">
        <w:rPr>
          <w:sz w:val="22"/>
          <w:lang w:val="en-US"/>
        </w:rPr>
        <w:t>Dubai</w:t>
      </w:r>
      <w:r w:rsidRPr="00847827">
        <w:rPr>
          <w:sz w:val="22"/>
        </w:rPr>
        <w:t xml:space="preserve"> </w:t>
      </w:r>
      <w:r w:rsidRPr="00847827">
        <w:rPr>
          <w:sz w:val="22"/>
          <w:lang w:val="en-US"/>
        </w:rPr>
        <w:t>Fateh</w:t>
      </w:r>
      <w:r w:rsidRPr="00847827">
        <w:rPr>
          <w:sz w:val="22"/>
        </w:rPr>
        <w:t xml:space="preserve"> και </w:t>
      </w:r>
      <w:r w:rsidRPr="00847827">
        <w:rPr>
          <w:sz w:val="22"/>
          <w:lang w:val="en-US"/>
        </w:rPr>
        <w:t>West</w:t>
      </w:r>
      <w:r w:rsidRPr="00847827">
        <w:rPr>
          <w:sz w:val="22"/>
        </w:rPr>
        <w:t xml:space="preserve"> </w:t>
      </w:r>
      <w:r w:rsidRPr="00847827">
        <w:rPr>
          <w:sz w:val="22"/>
          <w:lang w:val="en-US"/>
        </w:rPr>
        <w:t>Texas</w:t>
      </w:r>
      <w:r w:rsidRPr="00847827">
        <w:rPr>
          <w:sz w:val="22"/>
        </w:rPr>
        <w:t xml:space="preserve"> </w:t>
      </w:r>
      <w:r w:rsidRPr="00847827">
        <w:rPr>
          <w:sz w:val="22"/>
          <w:lang w:val="en-US"/>
        </w:rPr>
        <w:t>Intermediate</w:t>
      </w:r>
      <w:r w:rsidRPr="00847827">
        <w:rPr>
          <w:sz w:val="22"/>
        </w:rPr>
        <w:t>, που αποτελεί βάση αναφοράς για τη διαμόρφωση των τιμών) δι</w:t>
      </w:r>
      <w:r w:rsidRPr="00847827">
        <w:rPr>
          <w:sz w:val="22"/>
        </w:rPr>
        <w:t>α</w:t>
      </w:r>
      <w:r w:rsidRPr="00847827">
        <w:rPr>
          <w:sz w:val="22"/>
        </w:rPr>
        <w:t>μορφώθηκε στα 50,79 δολάρια το βαρέλι το 2015. Για το 2016 προβλέπεται μέση τιμή του αργού πε</w:t>
      </w:r>
      <w:r w:rsidRPr="00847827">
        <w:rPr>
          <w:sz w:val="22"/>
        </w:rPr>
        <w:t>τ</w:t>
      </w:r>
      <w:r w:rsidRPr="00847827">
        <w:rPr>
          <w:sz w:val="22"/>
        </w:rPr>
        <w:t>ρελαίου στα 42,96 δολάρια το βαρέλι και στα 50,64 δολάρια το βαρέλι για το 2017</w:t>
      </w:r>
      <w:r w:rsidRPr="00847827">
        <w:rPr>
          <w:sz w:val="22"/>
          <w:vertAlign w:val="superscript"/>
        </w:rPr>
        <w:footnoteReference w:id="2"/>
      </w:r>
      <w:r w:rsidRPr="00847827">
        <w:rPr>
          <w:sz w:val="22"/>
        </w:rPr>
        <w:t xml:space="preserve">. Ο πληθωρισμός προβλέπεται στο 0,8% για το 2016 και στο 1,7% για το 2017 στις προηγμένες οικονομίες, και στο 4,5% και 4,4% για τις αναπτυσσόμενες οικονομίες, αντιστοίχως. </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Για την Ευρωζώνη, το ΔΝΤ προβλέπει θετικούς ρυθμούς ανάπτυξης 1,7% το 2016 και 1,5% το 2017, ενώ οι αντίστοιχες προβλέψεις της ΕΚΤ είναι 1,7% και 1,6%</w:t>
      </w:r>
      <w:r w:rsidRPr="00847827">
        <w:rPr>
          <w:sz w:val="22"/>
          <w:vertAlign w:val="superscript"/>
        </w:rPr>
        <w:footnoteReference w:id="3"/>
      </w:r>
      <w:r w:rsidRPr="00847827">
        <w:rPr>
          <w:sz w:val="22"/>
        </w:rPr>
        <w:t>, έναντι ρυθμού 1,9% το 2015. Η ανά</w:t>
      </w:r>
      <w:r w:rsidRPr="00847827">
        <w:rPr>
          <w:sz w:val="22"/>
        </w:rPr>
        <w:t>π</w:t>
      </w:r>
      <w:r w:rsidRPr="00847827">
        <w:rPr>
          <w:sz w:val="22"/>
        </w:rPr>
        <w:t>τυξη εξακολουθεί να εμφανίζεται ανισοβαρής μεταξύ των κρατών-μελών, ζήτημα το οποίο έγκειται στη διαφορετική κατάσταση των ισοζυγίων Γενικής Κυβέρνησης και των ισοζυγίων πληρωμών, αλλά και την υψηλή ανεργία σε ορισμένα κράτη-μέλη.</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Από το 2017, οι αναδυόμενες οικονομίες με εξαγωγικό προσανατολισμό εκτιμάται ότι θα ενισχυθούν από τη</w:t>
      </w:r>
      <w:r w:rsidR="001375B4">
        <w:rPr>
          <w:sz w:val="22"/>
        </w:rPr>
        <w:t xml:space="preserve"> σταδιακή</w:t>
      </w:r>
      <w:r w:rsidRPr="00847827">
        <w:rPr>
          <w:sz w:val="22"/>
        </w:rPr>
        <w:t xml:space="preserve"> ανάκαμψη της διεθνούς τιμής του πετρελαίου, με την προ</w:t>
      </w:r>
      <w:bookmarkStart w:id="0" w:name="_GoBack"/>
      <w:bookmarkEnd w:id="0"/>
      <w:r w:rsidRPr="00847827">
        <w:rPr>
          <w:sz w:val="22"/>
        </w:rPr>
        <w:t>βλεπόμενη ανάπτυξη του παγκόσμιου εμπορίου να βελτιώνει την εξωτερική ζήτηση της Ευρωζώνης</w:t>
      </w:r>
      <w:r w:rsidR="001375B4">
        <w:rPr>
          <w:sz w:val="22"/>
        </w:rPr>
        <w:t>. Παρόλα αυτά το πλεόνα</w:t>
      </w:r>
      <w:r w:rsidR="001375B4">
        <w:rPr>
          <w:sz w:val="22"/>
        </w:rPr>
        <w:t>σ</w:t>
      </w:r>
      <w:r w:rsidR="001375B4">
        <w:rPr>
          <w:sz w:val="22"/>
        </w:rPr>
        <w:t>μα του ισοζυγίου πληρωμών της αναμένεται να συμπιεσθεί σε σχέση με το 2016, λόγω της συγκριτικά μεγαλύτερης αύξησης των εισαγωγών.</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Σύμφωνα με την Ευρωπαϊκή Κεντρική Τράπεζα</w:t>
      </w:r>
      <w:r w:rsidR="00FB1D92">
        <w:rPr>
          <w:sz w:val="22"/>
        </w:rPr>
        <w:t xml:space="preserve"> (ΕΚΤ)</w:t>
      </w:r>
      <w:r w:rsidRPr="00847827">
        <w:rPr>
          <w:sz w:val="22"/>
          <w:vertAlign w:val="superscript"/>
        </w:rPr>
        <w:footnoteReference w:id="4"/>
      </w:r>
      <w:r w:rsidRPr="00847827">
        <w:rPr>
          <w:sz w:val="22"/>
        </w:rPr>
        <w:t xml:space="preserve">, το επίπεδο των τιμών στην Ευρωζώνη, το οποίο παρέμεινε αμετάβλητο το 2015 σε σχέση με το 2014 (0,0% έναντι 0,4%), προβλέπεται ότι θα κυμανθεί για μεν </w:t>
      </w:r>
      <w:r w:rsidR="00E63E6B">
        <w:rPr>
          <w:sz w:val="22"/>
        </w:rPr>
        <w:t xml:space="preserve">το </w:t>
      </w:r>
      <w:r w:rsidRPr="00847827">
        <w:rPr>
          <w:sz w:val="22"/>
        </w:rPr>
        <w:t>2016 οριακά πάνω από το μηδέν (0,2%), για δε το 2017 εμφανώς υψηλότερα (1,2%), λόγω και της επίδρασης των τιμών έτους βάσης, αν και εμφανώς χαμηλότερα από το μεσο</w:t>
      </w:r>
      <w:r w:rsidRPr="00847827">
        <w:rPr>
          <w:sz w:val="22"/>
        </w:rPr>
        <w:t>π</w:t>
      </w:r>
      <w:r w:rsidRPr="00847827">
        <w:rPr>
          <w:sz w:val="22"/>
        </w:rPr>
        <w:t>ρόθεσμο στόχο του 2%.</w:t>
      </w:r>
    </w:p>
    <w:p w:rsidR="00847827" w:rsidRPr="00847827" w:rsidRDefault="00847827" w:rsidP="00847827">
      <w:pPr>
        <w:pStyle w:val="normal"/>
        <w:jc w:val="both"/>
        <w:rPr>
          <w:sz w:val="22"/>
        </w:rPr>
      </w:pPr>
    </w:p>
    <w:p w:rsidR="00847827" w:rsidRPr="00847827" w:rsidRDefault="00847827" w:rsidP="00847827">
      <w:pPr>
        <w:pStyle w:val="normal"/>
        <w:jc w:val="both"/>
        <w:rPr>
          <w:sz w:val="22"/>
        </w:rPr>
      </w:pPr>
      <w:r w:rsidRPr="00847827">
        <w:rPr>
          <w:sz w:val="22"/>
        </w:rPr>
        <w:t xml:space="preserve">Αυξητική προβλέπεται επίσης, σύμφωνα με την ΕΚΤ, η πορεία των μισθών, λόγω των βελτιώσεων </w:t>
      </w:r>
      <w:r w:rsidR="00FB1D92" w:rsidRPr="00847827">
        <w:rPr>
          <w:sz w:val="22"/>
        </w:rPr>
        <w:t xml:space="preserve">(δομικών και συγκυριακών) </w:t>
      </w:r>
      <w:r w:rsidRPr="00847827">
        <w:rPr>
          <w:sz w:val="22"/>
        </w:rPr>
        <w:t>στην αγορά εργασίας. Οι βραχυπρόθεσμες σχετικές προβλέψεις παραμ</w:t>
      </w:r>
      <w:r w:rsidRPr="00847827">
        <w:rPr>
          <w:sz w:val="22"/>
        </w:rPr>
        <w:t>έ</w:t>
      </w:r>
      <w:r w:rsidRPr="00847827">
        <w:rPr>
          <w:sz w:val="22"/>
        </w:rPr>
        <w:t>νουν συγκρατημένα αισιόδοξες, με το εκτιμώμενο ποσοστό ανεργίας να μειώνεται κατά μισή περίπου εκατοστιαία μονάδα ανά έτος τα επόμενα δύο χρόνια (10,1% το 2016 και 9,9% το 2017), έπειτα από τη μείωσή του το 2015 για δεύτερη συνεχόμενη χρονιά, στο 10,9% του εργατικού δυναμικού.</w:t>
      </w:r>
    </w:p>
    <w:p w:rsidR="00847827" w:rsidRPr="00847827" w:rsidRDefault="00847827" w:rsidP="00847827">
      <w:pPr>
        <w:pStyle w:val="normal"/>
        <w:rPr>
          <w:sz w:val="22"/>
        </w:rPr>
      </w:pPr>
    </w:p>
    <w:p w:rsidR="00847827" w:rsidRPr="00847827" w:rsidRDefault="00847827" w:rsidP="00847827">
      <w:pPr>
        <w:pStyle w:val="normal"/>
        <w:jc w:val="both"/>
        <w:rPr>
          <w:sz w:val="22"/>
        </w:rPr>
      </w:pPr>
      <w:r w:rsidRPr="00847827">
        <w:rPr>
          <w:sz w:val="22"/>
        </w:rPr>
        <w:t>Το σύνολο των παρεμβάσεων πολιτικής που έχουν εφαρμοστεί τα τελευταία έτη σε κεντρικό ευρωπ</w:t>
      </w:r>
      <w:r w:rsidRPr="00847827">
        <w:rPr>
          <w:sz w:val="22"/>
        </w:rPr>
        <w:t>α</w:t>
      </w:r>
      <w:r w:rsidRPr="00847827">
        <w:rPr>
          <w:sz w:val="22"/>
        </w:rPr>
        <w:t xml:space="preserve">ϊκό επίπεδο έχουν ως στόχο την οριστική εξάλειψη των παρατεταμένων επιπτώσεων της οικονομικής κρίσης του 2007-2008, και την εδραίωση συνθηκών </w:t>
      </w:r>
      <w:r w:rsidR="001375B4">
        <w:rPr>
          <w:sz w:val="22"/>
        </w:rPr>
        <w:t xml:space="preserve">ισόρροπης, βιώσιμης και </w:t>
      </w:r>
      <w:r w:rsidRPr="00847827">
        <w:rPr>
          <w:sz w:val="22"/>
        </w:rPr>
        <w:t xml:space="preserve">εύρωστης ανάπτυξης. Οι παρεμβάσεις αυτές περιλαμβάνουν: </w:t>
      </w:r>
    </w:p>
    <w:p w:rsidR="00847827" w:rsidRPr="00847827" w:rsidRDefault="00847827" w:rsidP="00847827">
      <w:pPr>
        <w:pStyle w:val="normal"/>
        <w:jc w:val="both"/>
        <w:rPr>
          <w:sz w:val="22"/>
        </w:rPr>
      </w:pPr>
    </w:p>
    <w:p w:rsidR="00847827" w:rsidRPr="00847827" w:rsidRDefault="00847827" w:rsidP="00A24908">
      <w:pPr>
        <w:pStyle w:val="normal"/>
        <w:numPr>
          <w:ilvl w:val="0"/>
          <w:numId w:val="14"/>
        </w:numPr>
        <w:ind w:left="284" w:hanging="284"/>
        <w:jc w:val="both"/>
        <w:rPr>
          <w:sz w:val="22"/>
        </w:rPr>
      </w:pPr>
      <w:r w:rsidRPr="00847827">
        <w:rPr>
          <w:sz w:val="22"/>
        </w:rPr>
        <w:lastRenderedPageBreak/>
        <w:t>την ενιαία εφαρμογή τόσο των πολιτικών προληπτικής εποπτείας των συστημικών πιστωτικών ι</w:t>
      </w:r>
      <w:r w:rsidRPr="00847827">
        <w:rPr>
          <w:sz w:val="22"/>
        </w:rPr>
        <w:t>δ</w:t>
      </w:r>
      <w:r w:rsidRPr="00847827">
        <w:rPr>
          <w:sz w:val="22"/>
        </w:rPr>
        <w:t>ρυμάτων στο σύνολο της Ένωσης, όσο και του ενοποιημένου πλαισίου για την εγγύηση των κατ</w:t>
      </w:r>
      <w:r w:rsidRPr="00847827">
        <w:rPr>
          <w:sz w:val="22"/>
        </w:rPr>
        <w:t>α</w:t>
      </w:r>
      <w:r w:rsidRPr="00847827">
        <w:rPr>
          <w:sz w:val="22"/>
        </w:rPr>
        <w:t>θέσεων, την ανάκαμψη και εξυγίανση χρηματοδοτικών ιδρυμάτων</w:t>
      </w:r>
      <w:r w:rsidRPr="00847827">
        <w:rPr>
          <w:sz w:val="22"/>
          <w:vertAlign w:val="superscript"/>
        </w:rPr>
        <w:footnoteReference w:id="5"/>
      </w:r>
      <w:r w:rsidRPr="00847827">
        <w:rPr>
          <w:sz w:val="22"/>
        </w:rPr>
        <w:t xml:space="preserve"> εντός της Ένωσης, προκειμ</w:t>
      </w:r>
      <w:r w:rsidRPr="00847827">
        <w:rPr>
          <w:sz w:val="22"/>
        </w:rPr>
        <w:t>έ</w:t>
      </w:r>
      <w:r w:rsidRPr="00847827">
        <w:rPr>
          <w:sz w:val="22"/>
        </w:rPr>
        <w:t>νου να αντιμετωπιστούν έγκαιρα τα κατάλοιπα της τραπεζικής κρίσης και οι ενδεχόμενες επιμέρ</w:t>
      </w:r>
      <w:r w:rsidRPr="00847827">
        <w:rPr>
          <w:sz w:val="22"/>
        </w:rPr>
        <w:t>ο</w:t>
      </w:r>
      <w:r w:rsidRPr="00847827">
        <w:rPr>
          <w:sz w:val="22"/>
        </w:rPr>
        <w:t>υς παθογένειες,</w:t>
      </w:r>
    </w:p>
    <w:p w:rsidR="00847827" w:rsidRPr="00847827" w:rsidRDefault="00847827" w:rsidP="00A24908">
      <w:pPr>
        <w:pStyle w:val="normal"/>
        <w:numPr>
          <w:ilvl w:val="0"/>
          <w:numId w:val="14"/>
        </w:numPr>
        <w:ind w:left="284" w:hanging="284"/>
        <w:jc w:val="both"/>
        <w:rPr>
          <w:sz w:val="22"/>
        </w:rPr>
      </w:pPr>
      <w:r w:rsidRPr="00847827">
        <w:rPr>
          <w:sz w:val="22"/>
        </w:rPr>
        <w:t>το πρόγραμμα αγοράς περιουσιακών στοιχείων του Ευρωσυστήματος (γνωστό ως «ποσοτική χ</w:t>
      </w:r>
      <w:r w:rsidRPr="00847827">
        <w:rPr>
          <w:sz w:val="22"/>
        </w:rPr>
        <w:t>α</w:t>
      </w:r>
      <w:r w:rsidRPr="00847827">
        <w:rPr>
          <w:sz w:val="22"/>
        </w:rPr>
        <w:t>λάρωση»), που τέθηκε σε ισχύ το Μάρτιο του 2015 και επεκτάθηκε έως τον Μάρτιο του 2017, μ</w:t>
      </w:r>
      <w:r w:rsidRPr="00847827">
        <w:rPr>
          <w:sz w:val="22"/>
        </w:rPr>
        <w:t>έ</w:t>
      </w:r>
      <w:r w:rsidRPr="00847827">
        <w:rPr>
          <w:sz w:val="22"/>
        </w:rPr>
        <w:t>σω του οποίου επιδιώκεται η βελτίωση των χρηματοοικονομικών συνθηκών εντός της Ευρωζώνης και η σταθερή προσαρμογή της πορείας του πληθωρισμού κοντά στο 2% μεσοπρόθεσμα,</w:t>
      </w:r>
    </w:p>
    <w:p w:rsidR="00847827" w:rsidRPr="00847827" w:rsidRDefault="00847827" w:rsidP="00A24908">
      <w:pPr>
        <w:pStyle w:val="normal"/>
        <w:numPr>
          <w:ilvl w:val="0"/>
          <w:numId w:val="14"/>
        </w:numPr>
        <w:ind w:left="284" w:hanging="284"/>
        <w:jc w:val="both"/>
        <w:rPr>
          <w:sz w:val="22"/>
        </w:rPr>
      </w:pPr>
      <w:r w:rsidRPr="00847827">
        <w:rPr>
          <w:sz w:val="22"/>
        </w:rPr>
        <w:t>το Επενδυτικό Σχέδιο της Ευρωπαϊκής Επιτροπής για την Ευρώπη, το οποίο αναμένεται να πρ</w:t>
      </w:r>
      <w:r w:rsidRPr="00847827">
        <w:rPr>
          <w:sz w:val="22"/>
        </w:rPr>
        <w:t>ο</w:t>
      </w:r>
      <w:r w:rsidRPr="00847827">
        <w:rPr>
          <w:sz w:val="22"/>
        </w:rPr>
        <w:t>σελκύσει ιδιωτικά επενδυτικά κεφάλαια σε βάθος τριετίας, με τη χρήση εργαλείων μόχλευσης, κ</w:t>
      </w:r>
      <w:r w:rsidRPr="00847827">
        <w:rPr>
          <w:sz w:val="22"/>
        </w:rPr>
        <w:t>α</w:t>
      </w:r>
      <w:r w:rsidRPr="00847827">
        <w:rPr>
          <w:sz w:val="22"/>
        </w:rPr>
        <w:t>θώς και η ίδρυση του Ευρωπαϊκού Ταμείου Στρατηγικών Επενδύσεων με στόχο την ενίσχυση της ανάπτυξης και της απασχόλησης, και</w:t>
      </w:r>
    </w:p>
    <w:p w:rsidR="00847827" w:rsidRPr="00847827" w:rsidRDefault="00847827" w:rsidP="00A24908">
      <w:pPr>
        <w:pStyle w:val="normal"/>
        <w:numPr>
          <w:ilvl w:val="0"/>
          <w:numId w:val="14"/>
        </w:numPr>
        <w:ind w:left="284" w:hanging="284"/>
        <w:jc w:val="both"/>
        <w:rPr>
          <w:sz w:val="22"/>
        </w:rPr>
      </w:pPr>
      <w:r w:rsidRPr="00847827">
        <w:rPr>
          <w:sz w:val="22"/>
        </w:rPr>
        <w:t>τις αποφάσεις σε κεντρικό ευρωπαϊκό επίπεδο για την κατανομή των βαρών μεταξύ κρατών-μελών αναφορικά με το προσφυγικό ζήτημα.</w:t>
      </w:r>
    </w:p>
    <w:p w:rsidR="00847827" w:rsidRPr="00847827" w:rsidRDefault="00847827" w:rsidP="00847827">
      <w:pPr>
        <w:pStyle w:val="normal"/>
        <w:jc w:val="both"/>
        <w:rPr>
          <w:sz w:val="22"/>
        </w:rPr>
      </w:pPr>
    </w:p>
    <w:tbl>
      <w:tblPr>
        <w:tblW w:w="9039" w:type="dxa"/>
        <w:jc w:val="center"/>
        <w:tblInd w:w="-115" w:type="dxa"/>
        <w:tblBorders>
          <w:top w:val="single" w:sz="8" w:space="0" w:color="000000"/>
          <w:left w:val="single" w:sz="8" w:space="0" w:color="000000"/>
          <w:bottom w:val="single" w:sz="8" w:space="0" w:color="000000"/>
          <w:right w:val="single" w:sz="8" w:space="0" w:color="000000"/>
          <w:insideH w:val="single" w:sz="8" w:space="0" w:color="7BA0CD"/>
          <w:insideV w:val="single" w:sz="8" w:space="0" w:color="7BA0CD"/>
        </w:tblBorders>
        <w:tblLayout w:type="fixed"/>
        <w:tblCellMar>
          <w:left w:w="115" w:type="dxa"/>
          <w:right w:w="115" w:type="dxa"/>
        </w:tblCellMar>
        <w:tblLook w:val="0400"/>
      </w:tblPr>
      <w:tblGrid>
        <w:gridCol w:w="4219"/>
        <w:gridCol w:w="1134"/>
        <w:gridCol w:w="1276"/>
        <w:gridCol w:w="1134"/>
        <w:gridCol w:w="1276"/>
      </w:tblGrid>
      <w:tr w:rsidR="0006551E" w:rsidTr="0006551E">
        <w:trPr>
          <w:jc w:val="center"/>
        </w:trPr>
        <w:tc>
          <w:tcPr>
            <w:tcW w:w="9039" w:type="dxa"/>
            <w:gridSpan w:val="5"/>
            <w:tcBorders>
              <w:top w:val="single" w:sz="8" w:space="0" w:color="000000"/>
              <w:left w:val="single" w:sz="8" w:space="0" w:color="000000"/>
              <w:bottom w:val="single" w:sz="4" w:space="0" w:color="000000"/>
              <w:right w:val="single" w:sz="8" w:space="0" w:color="000000"/>
            </w:tcBorders>
            <w:shd w:val="clear" w:color="auto" w:fill="404040"/>
          </w:tcPr>
          <w:p w:rsidR="0006551E" w:rsidRDefault="0006551E" w:rsidP="0006551E">
            <w:pPr>
              <w:pStyle w:val="normal"/>
              <w:spacing w:before="120"/>
              <w:jc w:val="center"/>
            </w:pPr>
            <w:r w:rsidRPr="0006551E">
              <w:rPr>
                <w:rFonts w:ascii="Arial Narrow" w:eastAsia="Arial Narrow" w:hAnsi="Arial Narrow" w:cs="Arial Narrow"/>
                <w:b/>
                <w:color w:val="FFFFFF"/>
              </w:rPr>
              <w:t>Πίνακας 1.1 Βασικά μεγέθη της παγκόσμιας οικονομίας</w:t>
            </w:r>
          </w:p>
          <w:p w:rsidR="0006551E" w:rsidRDefault="0006551E" w:rsidP="0006551E">
            <w:pPr>
              <w:pStyle w:val="normal"/>
              <w:spacing w:after="120"/>
              <w:jc w:val="center"/>
            </w:pPr>
            <w:r w:rsidRPr="0006551E">
              <w:rPr>
                <w:rFonts w:ascii="Arial Narrow" w:eastAsia="Arial Narrow" w:hAnsi="Arial Narrow" w:cs="Arial Narrow"/>
                <w:b/>
                <w:color w:val="FFFFFF"/>
              </w:rPr>
              <w:t>(% ετήσιες μεταβολές, σταθερές τιμές)</w:t>
            </w:r>
          </w:p>
        </w:tc>
      </w:tr>
      <w:tr w:rsidR="00060AC4" w:rsidTr="0068251A">
        <w:trPr>
          <w:trHeight w:val="20"/>
          <w:jc w:val="center"/>
        </w:trPr>
        <w:tc>
          <w:tcPr>
            <w:tcW w:w="9039" w:type="dxa"/>
            <w:gridSpan w:val="5"/>
            <w:tcBorders>
              <w:top w:val="single" w:sz="4" w:space="0" w:color="000000"/>
              <w:left w:val="single" w:sz="8" w:space="0" w:color="000000"/>
              <w:bottom w:val="single" w:sz="4" w:space="0" w:color="000000"/>
              <w:right w:val="single" w:sz="8" w:space="0" w:color="000000"/>
            </w:tcBorders>
          </w:tcPr>
          <w:p w:rsidR="00060AC4" w:rsidRDefault="00060AC4" w:rsidP="0068251A">
            <w:pPr>
              <w:pStyle w:val="normal"/>
              <w:jc w:val="center"/>
            </w:pPr>
          </w:p>
        </w:tc>
      </w:tr>
      <w:tr w:rsidR="0006551E" w:rsidTr="0006551E">
        <w:trPr>
          <w:trHeight w:val="20"/>
          <w:jc w:val="center"/>
        </w:trPr>
        <w:tc>
          <w:tcPr>
            <w:tcW w:w="4219" w:type="dxa"/>
            <w:tcBorders>
              <w:top w:val="single" w:sz="4" w:space="0" w:color="000000"/>
              <w:left w:val="single" w:sz="8" w:space="0" w:color="000000"/>
              <w:bottom w:val="single" w:sz="4" w:space="0" w:color="000000"/>
              <w:right w:val="single" w:sz="4" w:space="0" w:color="000000"/>
            </w:tcBorders>
          </w:tcPr>
          <w:p w:rsidR="0006551E" w:rsidRDefault="0006551E" w:rsidP="0006551E">
            <w:pPr>
              <w:pStyle w:val="normal"/>
              <w:jc w:val="both"/>
            </w:pPr>
          </w:p>
        </w:tc>
        <w:tc>
          <w:tcPr>
            <w:tcW w:w="1134" w:type="dxa"/>
            <w:tcBorders>
              <w:top w:val="single" w:sz="4" w:space="0" w:color="000000"/>
              <w:left w:val="single" w:sz="4" w:space="0" w:color="000000"/>
              <w:bottom w:val="single" w:sz="4" w:space="0" w:color="000000"/>
              <w:right w:val="single" w:sz="4" w:space="0" w:color="000000"/>
            </w:tcBorders>
          </w:tcPr>
          <w:p w:rsidR="0006551E" w:rsidRPr="00154058" w:rsidRDefault="0006551E" w:rsidP="0006551E">
            <w:pPr>
              <w:pStyle w:val="normal"/>
              <w:jc w:val="center"/>
              <w:rPr>
                <w:lang w:val="en-US"/>
              </w:rPr>
            </w:pPr>
            <w:r w:rsidRPr="0006551E">
              <w:rPr>
                <w:rFonts w:ascii="Arial Narrow" w:eastAsia="Arial Narrow" w:hAnsi="Arial Narrow" w:cs="Arial Narrow"/>
                <w:b/>
                <w:sz w:val="16"/>
                <w:szCs w:val="16"/>
              </w:rPr>
              <w:t>201</w:t>
            </w:r>
            <w:r w:rsidR="00154058">
              <w:rPr>
                <w:rFonts w:ascii="Arial Narrow" w:eastAsia="Arial Narrow" w:hAnsi="Arial Narrow" w:cs="Arial Narrow"/>
                <w:b/>
                <w:sz w:val="16"/>
                <w:szCs w:val="16"/>
                <w:lang w:val="en-US"/>
              </w:rPr>
              <w:t>4</w:t>
            </w:r>
          </w:p>
        </w:tc>
        <w:tc>
          <w:tcPr>
            <w:tcW w:w="1276" w:type="dxa"/>
            <w:tcBorders>
              <w:top w:val="single" w:sz="4" w:space="0" w:color="000000"/>
              <w:left w:val="single" w:sz="4" w:space="0" w:color="000000"/>
              <w:bottom w:val="single" w:sz="4" w:space="0" w:color="000000"/>
              <w:right w:val="single" w:sz="4" w:space="0" w:color="000000"/>
            </w:tcBorders>
          </w:tcPr>
          <w:p w:rsidR="0006551E" w:rsidRPr="00154058" w:rsidRDefault="0006551E" w:rsidP="0006551E">
            <w:pPr>
              <w:pStyle w:val="normal"/>
              <w:jc w:val="center"/>
              <w:rPr>
                <w:lang w:val="en-US"/>
              </w:rPr>
            </w:pPr>
            <w:r w:rsidRPr="0006551E">
              <w:rPr>
                <w:rFonts w:ascii="Arial Narrow" w:eastAsia="Arial Narrow" w:hAnsi="Arial Narrow" w:cs="Arial Narrow"/>
                <w:b/>
                <w:sz w:val="16"/>
                <w:szCs w:val="16"/>
              </w:rPr>
              <w:t>201</w:t>
            </w:r>
            <w:r w:rsidR="00154058">
              <w:rPr>
                <w:rFonts w:ascii="Arial Narrow" w:eastAsia="Arial Narrow" w:hAnsi="Arial Narrow" w:cs="Arial Narrow"/>
                <w:b/>
                <w:sz w:val="16"/>
                <w:szCs w:val="16"/>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06551E" w:rsidRDefault="0006551E" w:rsidP="00154058">
            <w:pPr>
              <w:pStyle w:val="normal"/>
              <w:jc w:val="center"/>
            </w:pPr>
            <w:r w:rsidRPr="0006551E">
              <w:rPr>
                <w:rFonts w:ascii="Arial Narrow" w:eastAsia="Arial Narrow" w:hAnsi="Arial Narrow" w:cs="Arial Narrow"/>
                <w:b/>
                <w:sz w:val="16"/>
                <w:szCs w:val="16"/>
              </w:rPr>
              <w:t>201</w:t>
            </w:r>
            <w:r w:rsidR="00154058">
              <w:rPr>
                <w:rFonts w:ascii="Arial Narrow" w:eastAsia="Arial Narrow" w:hAnsi="Arial Narrow" w:cs="Arial Narrow"/>
                <w:b/>
                <w:sz w:val="16"/>
                <w:szCs w:val="16"/>
                <w:lang w:val="en-US"/>
              </w:rPr>
              <w:t>6</w:t>
            </w:r>
            <w:r w:rsidRPr="0006551E">
              <w:rPr>
                <w:rFonts w:ascii="Arial Narrow" w:eastAsia="Arial Narrow" w:hAnsi="Arial Narrow" w:cs="Arial Narrow"/>
                <w:b/>
                <w:sz w:val="16"/>
                <w:szCs w:val="16"/>
              </w:rPr>
              <w:t>*</w:t>
            </w:r>
          </w:p>
        </w:tc>
        <w:tc>
          <w:tcPr>
            <w:tcW w:w="1276" w:type="dxa"/>
            <w:tcBorders>
              <w:top w:val="single" w:sz="4" w:space="0" w:color="000000"/>
              <w:left w:val="single" w:sz="4" w:space="0" w:color="000000"/>
              <w:bottom w:val="single" w:sz="4" w:space="0" w:color="000000"/>
              <w:right w:val="single" w:sz="8" w:space="0" w:color="000000"/>
            </w:tcBorders>
          </w:tcPr>
          <w:p w:rsidR="0006551E" w:rsidRDefault="0006551E" w:rsidP="00154058">
            <w:pPr>
              <w:pStyle w:val="normal"/>
              <w:jc w:val="center"/>
            </w:pPr>
            <w:r w:rsidRPr="0006551E">
              <w:rPr>
                <w:rFonts w:ascii="Arial Narrow" w:eastAsia="Arial Narrow" w:hAnsi="Arial Narrow" w:cs="Arial Narrow"/>
                <w:b/>
                <w:sz w:val="16"/>
                <w:szCs w:val="16"/>
              </w:rPr>
              <w:t>201</w:t>
            </w:r>
            <w:r w:rsidR="00154058">
              <w:rPr>
                <w:rFonts w:ascii="Arial Narrow" w:eastAsia="Arial Narrow" w:hAnsi="Arial Narrow" w:cs="Arial Narrow"/>
                <w:b/>
                <w:sz w:val="16"/>
                <w:szCs w:val="16"/>
                <w:lang w:val="en-US"/>
              </w:rPr>
              <w:t>7</w:t>
            </w:r>
            <w:r w:rsidRPr="0006551E">
              <w:rPr>
                <w:rFonts w:ascii="Arial Narrow" w:eastAsia="Arial Narrow" w:hAnsi="Arial Narrow" w:cs="Arial Narrow"/>
                <w:b/>
                <w:sz w:val="16"/>
                <w:szCs w:val="16"/>
              </w:rPr>
              <w:t>**</w:t>
            </w:r>
          </w:p>
        </w:tc>
      </w:tr>
      <w:tr w:rsidR="0006551E" w:rsidTr="0006551E">
        <w:trPr>
          <w:trHeight w:val="20"/>
          <w:jc w:val="center"/>
        </w:trPr>
        <w:tc>
          <w:tcPr>
            <w:tcW w:w="4219" w:type="dxa"/>
            <w:tcBorders>
              <w:top w:val="single" w:sz="4" w:space="0" w:color="000000"/>
              <w:left w:val="single" w:sz="8" w:space="0" w:color="000000"/>
              <w:bottom w:val="nil"/>
              <w:right w:val="nil"/>
            </w:tcBorders>
            <w:shd w:val="clear" w:color="auto" w:fill="A6A6A6"/>
          </w:tcPr>
          <w:p w:rsidR="0006551E" w:rsidRDefault="0006551E" w:rsidP="0006551E">
            <w:pPr>
              <w:pStyle w:val="normal"/>
              <w:jc w:val="both"/>
            </w:pPr>
            <w:r w:rsidRPr="0006551E">
              <w:rPr>
                <w:rFonts w:ascii="Arial Narrow" w:eastAsia="Arial Narrow" w:hAnsi="Arial Narrow" w:cs="Arial Narrow"/>
                <w:sz w:val="16"/>
                <w:szCs w:val="16"/>
              </w:rPr>
              <w:t>Παγκόσμιο ΑΕΠ</w:t>
            </w:r>
          </w:p>
        </w:tc>
        <w:tc>
          <w:tcPr>
            <w:tcW w:w="1134" w:type="dxa"/>
            <w:tcBorders>
              <w:top w:val="single" w:sz="4" w:space="0" w:color="000000"/>
              <w:left w:val="nil"/>
              <w:bottom w:val="nil"/>
              <w:right w:val="nil"/>
            </w:tcBorders>
            <w:shd w:val="clear" w:color="auto" w:fill="A6A6A6"/>
          </w:tcPr>
          <w:p w:rsidR="0006551E" w:rsidRPr="00154058" w:rsidRDefault="0006551E" w:rsidP="00E63E6B">
            <w:pPr>
              <w:pStyle w:val="normal"/>
              <w:tabs>
                <w:tab w:val="decimal" w:pos="476"/>
              </w:tabs>
              <w:jc w:val="both"/>
              <w:rPr>
                <w:lang w:val="en-US"/>
              </w:rPr>
            </w:pPr>
            <w:r w:rsidRPr="0006551E">
              <w:rPr>
                <w:rFonts w:ascii="Arial Narrow" w:eastAsia="Arial Narrow" w:hAnsi="Arial Narrow" w:cs="Arial Narrow"/>
                <w:sz w:val="16"/>
                <w:szCs w:val="16"/>
              </w:rPr>
              <w:t>3,</w:t>
            </w:r>
            <w:r w:rsidR="00154058">
              <w:rPr>
                <w:rFonts w:ascii="Arial Narrow" w:eastAsia="Arial Narrow" w:hAnsi="Arial Narrow" w:cs="Arial Narrow"/>
                <w:sz w:val="16"/>
                <w:szCs w:val="16"/>
                <w:lang w:val="en-US"/>
              </w:rPr>
              <w:t>4</w:t>
            </w:r>
          </w:p>
        </w:tc>
        <w:tc>
          <w:tcPr>
            <w:tcW w:w="1276" w:type="dxa"/>
            <w:tcBorders>
              <w:top w:val="single" w:sz="4" w:space="0" w:color="000000"/>
              <w:left w:val="nil"/>
              <w:bottom w:val="nil"/>
              <w:right w:val="nil"/>
            </w:tcBorders>
            <w:shd w:val="clear" w:color="auto" w:fill="A6A6A6"/>
          </w:tcPr>
          <w:p w:rsidR="0006551E" w:rsidRPr="00154058" w:rsidRDefault="0006551E" w:rsidP="00E63E6B">
            <w:pPr>
              <w:pStyle w:val="normal"/>
              <w:tabs>
                <w:tab w:val="decimal" w:pos="549"/>
              </w:tabs>
              <w:jc w:val="both"/>
              <w:rPr>
                <w:lang w:val="en-US"/>
              </w:rPr>
            </w:pPr>
            <w:r w:rsidRPr="0006551E">
              <w:rPr>
                <w:rFonts w:ascii="Arial Narrow" w:eastAsia="Arial Narrow" w:hAnsi="Arial Narrow" w:cs="Arial Narrow"/>
                <w:sz w:val="16"/>
                <w:szCs w:val="16"/>
              </w:rPr>
              <w:t>3,</w:t>
            </w:r>
            <w:r w:rsidR="00154058">
              <w:rPr>
                <w:rFonts w:ascii="Arial Narrow" w:eastAsia="Arial Narrow" w:hAnsi="Arial Narrow" w:cs="Arial Narrow"/>
                <w:sz w:val="16"/>
                <w:szCs w:val="16"/>
                <w:lang w:val="en-US"/>
              </w:rPr>
              <w:t>2</w:t>
            </w:r>
          </w:p>
        </w:tc>
        <w:tc>
          <w:tcPr>
            <w:tcW w:w="1134" w:type="dxa"/>
            <w:tcBorders>
              <w:top w:val="single" w:sz="4" w:space="0" w:color="000000"/>
              <w:left w:val="nil"/>
              <w:bottom w:val="nil"/>
              <w:right w:val="nil"/>
            </w:tcBorders>
            <w:shd w:val="clear" w:color="auto" w:fill="A6A6A6"/>
          </w:tcPr>
          <w:p w:rsidR="0006551E" w:rsidRDefault="0006551E" w:rsidP="00E63E6B">
            <w:pPr>
              <w:pStyle w:val="normal"/>
              <w:tabs>
                <w:tab w:val="decimal" w:pos="470"/>
              </w:tabs>
              <w:jc w:val="both"/>
            </w:pPr>
            <w:r w:rsidRPr="0006551E">
              <w:rPr>
                <w:rFonts w:ascii="Arial Narrow" w:eastAsia="Arial Narrow" w:hAnsi="Arial Narrow" w:cs="Arial Narrow"/>
                <w:sz w:val="16"/>
                <w:szCs w:val="16"/>
              </w:rPr>
              <w:t>3,1</w:t>
            </w:r>
          </w:p>
        </w:tc>
        <w:tc>
          <w:tcPr>
            <w:tcW w:w="1276" w:type="dxa"/>
            <w:tcBorders>
              <w:top w:val="single" w:sz="4" w:space="0" w:color="000000"/>
              <w:left w:val="nil"/>
              <w:bottom w:val="nil"/>
              <w:right w:val="single" w:sz="8" w:space="0" w:color="000000"/>
            </w:tcBorders>
            <w:shd w:val="clear" w:color="auto" w:fill="A6A6A6"/>
          </w:tcPr>
          <w:p w:rsidR="0006551E" w:rsidRPr="00154058" w:rsidRDefault="0006551E" w:rsidP="00E63E6B">
            <w:pPr>
              <w:pStyle w:val="normal"/>
              <w:tabs>
                <w:tab w:val="decimal" w:pos="476"/>
              </w:tabs>
              <w:jc w:val="both"/>
              <w:rPr>
                <w:lang w:val="en-US"/>
              </w:rPr>
            </w:pPr>
            <w:r w:rsidRPr="0006551E">
              <w:rPr>
                <w:rFonts w:ascii="Arial Narrow" w:eastAsia="Arial Narrow" w:hAnsi="Arial Narrow" w:cs="Arial Narrow"/>
                <w:sz w:val="16"/>
                <w:szCs w:val="16"/>
              </w:rPr>
              <w:t>3,</w:t>
            </w:r>
            <w:r w:rsidR="00154058">
              <w:rPr>
                <w:rFonts w:ascii="Arial Narrow" w:eastAsia="Arial Narrow" w:hAnsi="Arial Narrow" w:cs="Arial Narrow"/>
                <w:sz w:val="16"/>
                <w:szCs w:val="16"/>
                <w:lang w:val="en-US"/>
              </w:rPr>
              <w:t>4</w:t>
            </w:r>
          </w:p>
        </w:tc>
      </w:tr>
      <w:tr w:rsidR="0006551E" w:rsidTr="0006551E">
        <w:trPr>
          <w:trHeight w:val="20"/>
          <w:jc w:val="center"/>
        </w:trPr>
        <w:tc>
          <w:tcPr>
            <w:tcW w:w="4219" w:type="dxa"/>
            <w:tcBorders>
              <w:top w:val="nil"/>
              <w:left w:val="single" w:sz="8" w:space="0" w:color="000000"/>
              <w:bottom w:val="nil"/>
              <w:right w:val="nil"/>
            </w:tcBorders>
          </w:tcPr>
          <w:p w:rsidR="0006551E" w:rsidRDefault="0006551E" w:rsidP="0006551E">
            <w:pPr>
              <w:pStyle w:val="normal"/>
              <w:jc w:val="both"/>
            </w:pPr>
            <w:r w:rsidRPr="0006551E">
              <w:rPr>
                <w:rFonts w:ascii="Arial Narrow" w:eastAsia="Arial Narrow" w:hAnsi="Arial Narrow" w:cs="Arial Narrow"/>
                <w:sz w:val="16"/>
                <w:szCs w:val="16"/>
              </w:rPr>
              <w:t>ΑΕΠ Ευρωζώνης</w:t>
            </w:r>
          </w:p>
        </w:tc>
        <w:tc>
          <w:tcPr>
            <w:tcW w:w="1134" w:type="dxa"/>
            <w:tcBorders>
              <w:top w:val="nil"/>
              <w:left w:val="nil"/>
              <w:bottom w:val="nil"/>
              <w:right w:val="nil"/>
            </w:tcBorders>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1,1</w:t>
            </w:r>
          </w:p>
        </w:tc>
        <w:tc>
          <w:tcPr>
            <w:tcW w:w="1276" w:type="dxa"/>
            <w:tcBorders>
              <w:top w:val="nil"/>
              <w:left w:val="nil"/>
              <w:bottom w:val="nil"/>
              <w:right w:val="nil"/>
            </w:tcBorders>
          </w:tcPr>
          <w:p w:rsidR="0006551E" w:rsidRPr="00154058" w:rsidRDefault="00154058" w:rsidP="00E63E6B">
            <w:pPr>
              <w:pStyle w:val="normal"/>
              <w:tabs>
                <w:tab w:val="decimal" w:pos="549"/>
              </w:tabs>
              <w:jc w:val="both"/>
              <w:rPr>
                <w:lang w:val="en-US"/>
              </w:rPr>
            </w:pPr>
            <w:r>
              <w:rPr>
                <w:rFonts w:ascii="Arial Narrow" w:eastAsia="Arial Narrow" w:hAnsi="Arial Narrow" w:cs="Arial Narrow"/>
                <w:sz w:val="16"/>
                <w:szCs w:val="16"/>
                <w:lang w:val="en-US"/>
              </w:rPr>
              <w:t>2,0</w:t>
            </w:r>
          </w:p>
        </w:tc>
        <w:tc>
          <w:tcPr>
            <w:tcW w:w="1134" w:type="dxa"/>
            <w:tcBorders>
              <w:top w:val="nil"/>
              <w:left w:val="nil"/>
              <w:bottom w:val="nil"/>
              <w:right w:val="nil"/>
            </w:tcBorders>
          </w:tcPr>
          <w:p w:rsidR="0006551E" w:rsidRPr="00154058" w:rsidRDefault="0006551E" w:rsidP="00E63E6B">
            <w:pPr>
              <w:pStyle w:val="normal"/>
              <w:tabs>
                <w:tab w:val="decimal" w:pos="470"/>
              </w:tabs>
              <w:jc w:val="both"/>
              <w:rPr>
                <w:lang w:val="en-US"/>
              </w:rPr>
            </w:pPr>
            <w:r w:rsidRPr="0006551E">
              <w:rPr>
                <w:rFonts w:ascii="Arial Narrow" w:eastAsia="Arial Narrow" w:hAnsi="Arial Narrow" w:cs="Arial Narrow"/>
                <w:sz w:val="16"/>
                <w:szCs w:val="16"/>
              </w:rPr>
              <w:t>1,</w:t>
            </w:r>
            <w:r w:rsidR="00154058">
              <w:rPr>
                <w:rFonts w:ascii="Arial Narrow" w:eastAsia="Arial Narrow" w:hAnsi="Arial Narrow" w:cs="Arial Narrow"/>
                <w:sz w:val="16"/>
                <w:szCs w:val="16"/>
                <w:lang w:val="en-US"/>
              </w:rPr>
              <w:t>7</w:t>
            </w:r>
          </w:p>
        </w:tc>
        <w:tc>
          <w:tcPr>
            <w:tcW w:w="1276" w:type="dxa"/>
            <w:tcBorders>
              <w:top w:val="nil"/>
              <w:left w:val="nil"/>
              <w:bottom w:val="nil"/>
              <w:right w:val="single" w:sz="8" w:space="0" w:color="000000"/>
            </w:tcBorders>
          </w:tcPr>
          <w:p w:rsidR="0006551E" w:rsidRDefault="00154058" w:rsidP="00E63E6B">
            <w:pPr>
              <w:pStyle w:val="normal"/>
              <w:tabs>
                <w:tab w:val="decimal" w:pos="476"/>
              </w:tabs>
              <w:jc w:val="both"/>
            </w:pPr>
            <w:r>
              <w:rPr>
                <w:rFonts w:ascii="Arial Narrow" w:eastAsia="Arial Narrow" w:hAnsi="Arial Narrow" w:cs="Arial Narrow"/>
                <w:sz w:val="16"/>
                <w:szCs w:val="16"/>
              </w:rPr>
              <w:t>1,</w:t>
            </w:r>
            <w:r>
              <w:rPr>
                <w:rFonts w:ascii="Arial Narrow" w:eastAsia="Arial Narrow" w:hAnsi="Arial Narrow" w:cs="Arial Narrow"/>
                <w:sz w:val="16"/>
                <w:szCs w:val="16"/>
                <w:lang w:val="en-US"/>
              </w:rPr>
              <w:t>5</w:t>
            </w:r>
            <w:r w:rsidR="0006551E" w:rsidRPr="0006551E">
              <w:rPr>
                <w:rFonts w:ascii="Arial Narrow" w:eastAsia="Arial Narrow" w:hAnsi="Arial Narrow" w:cs="Arial Narrow"/>
                <w:sz w:val="16"/>
                <w:szCs w:val="16"/>
              </w:rPr>
              <w:t xml:space="preserve"> </w:t>
            </w:r>
          </w:p>
        </w:tc>
      </w:tr>
      <w:tr w:rsidR="0006551E" w:rsidTr="0006551E">
        <w:trPr>
          <w:trHeight w:val="20"/>
          <w:jc w:val="center"/>
        </w:trPr>
        <w:tc>
          <w:tcPr>
            <w:tcW w:w="4219" w:type="dxa"/>
            <w:tcBorders>
              <w:top w:val="nil"/>
              <w:left w:val="single" w:sz="8" w:space="0" w:color="000000"/>
              <w:bottom w:val="nil"/>
              <w:right w:val="nil"/>
            </w:tcBorders>
            <w:shd w:val="clear" w:color="auto" w:fill="A6A6A6"/>
          </w:tcPr>
          <w:p w:rsidR="0006551E" w:rsidRDefault="0006551E" w:rsidP="0006551E">
            <w:pPr>
              <w:pStyle w:val="normal"/>
              <w:jc w:val="both"/>
            </w:pPr>
            <w:r w:rsidRPr="0006551E">
              <w:rPr>
                <w:rFonts w:ascii="Arial Narrow" w:eastAsia="Arial Narrow" w:hAnsi="Arial Narrow" w:cs="Arial Narrow"/>
                <w:sz w:val="16"/>
                <w:szCs w:val="16"/>
              </w:rPr>
              <w:t>ΑΕΠ ΗΠΑ</w:t>
            </w:r>
          </w:p>
        </w:tc>
        <w:tc>
          <w:tcPr>
            <w:tcW w:w="1134" w:type="dxa"/>
            <w:tcBorders>
              <w:top w:val="nil"/>
              <w:left w:val="nil"/>
              <w:bottom w:val="nil"/>
              <w:right w:val="nil"/>
            </w:tcBorders>
            <w:shd w:val="clear" w:color="auto" w:fill="A6A6A6"/>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2,4</w:t>
            </w:r>
          </w:p>
        </w:tc>
        <w:tc>
          <w:tcPr>
            <w:tcW w:w="1276" w:type="dxa"/>
            <w:tcBorders>
              <w:top w:val="nil"/>
              <w:left w:val="nil"/>
              <w:bottom w:val="nil"/>
              <w:right w:val="nil"/>
            </w:tcBorders>
            <w:shd w:val="clear" w:color="auto" w:fill="A6A6A6"/>
          </w:tcPr>
          <w:p w:rsidR="0006551E" w:rsidRPr="00154058" w:rsidRDefault="0006551E" w:rsidP="00E63E6B">
            <w:pPr>
              <w:pStyle w:val="normal"/>
              <w:tabs>
                <w:tab w:val="decimal" w:pos="549"/>
              </w:tabs>
              <w:jc w:val="both"/>
              <w:rPr>
                <w:lang w:val="en-US"/>
              </w:rPr>
            </w:pPr>
            <w:r w:rsidRPr="0006551E">
              <w:rPr>
                <w:rFonts w:ascii="Arial Narrow" w:eastAsia="Arial Narrow" w:hAnsi="Arial Narrow" w:cs="Arial Narrow"/>
                <w:sz w:val="16"/>
                <w:szCs w:val="16"/>
              </w:rPr>
              <w:t>2,</w:t>
            </w:r>
            <w:r w:rsidR="00154058">
              <w:rPr>
                <w:rFonts w:ascii="Arial Narrow" w:eastAsia="Arial Narrow" w:hAnsi="Arial Narrow" w:cs="Arial Narrow"/>
                <w:sz w:val="16"/>
                <w:szCs w:val="16"/>
                <w:lang w:val="en-US"/>
              </w:rPr>
              <w:t>6</w:t>
            </w:r>
          </w:p>
        </w:tc>
        <w:tc>
          <w:tcPr>
            <w:tcW w:w="1134" w:type="dxa"/>
            <w:tcBorders>
              <w:top w:val="nil"/>
              <w:left w:val="nil"/>
              <w:bottom w:val="nil"/>
              <w:right w:val="nil"/>
            </w:tcBorders>
            <w:shd w:val="clear" w:color="auto" w:fill="A6A6A6"/>
          </w:tcPr>
          <w:p w:rsidR="0006551E" w:rsidRDefault="00154058" w:rsidP="00E63E6B">
            <w:pPr>
              <w:pStyle w:val="normal"/>
              <w:tabs>
                <w:tab w:val="decimal" w:pos="470"/>
              </w:tabs>
              <w:jc w:val="both"/>
            </w:pPr>
            <w:r>
              <w:rPr>
                <w:rFonts w:ascii="Arial Narrow" w:eastAsia="Arial Narrow" w:hAnsi="Arial Narrow" w:cs="Arial Narrow"/>
                <w:sz w:val="16"/>
                <w:szCs w:val="16"/>
                <w:lang w:val="en-US"/>
              </w:rPr>
              <w:t>1</w:t>
            </w:r>
            <w:r w:rsidR="0006551E" w:rsidRPr="0006551E">
              <w:rPr>
                <w:rFonts w:ascii="Arial Narrow" w:eastAsia="Arial Narrow" w:hAnsi="Arial Narrow" w:cs="Arial Narrow"/>
                <w:sz w:val="16"/>
                <w:szCs w:val="16"/>
              </w:rPr>
              <w:t>,6</w:t>
            </w:r>
          </w:p>
        </w:tc>
        <w:tc>
          <w:tcPr>
            <w:tcW w:w="1276" w:type="dxa"/>
            <w:tcBorders>
              <w:top w:val="nil"/>
              <w:left w:val="nil"/>
              <w:bottom w:val="nil"/>
              <w:right w:val="single" w:sz="8" w:space="0" w:color="000000"/>
            </w:tcBorders>
            <w:shd w:val="clear" w:color="auto" w:fill="A6A6A6"/>
          </w:tcPr>
          <w:p w:rsidR="0006551E" w:rsidRPr="00154058" w:rsidRDefault="0006551E" w:rsidP="00E63E6B">
            <w:pPr>
              <w:pStyle w:val="normal"/>
              <w:tabs>
                <w:tab w:val="decimal" w:pos="476"/>
              </w:tabs>
              <w:jc w:val="both"/>
              <w:rPr>
                <w:lang w:val="en-US"/>
              </w:rPr>
            </w:pPr>
            <w:r w:rsidRPr="0006551E">
              <w:rPr>
                <w:rFonts w:ascii="Arial Narrow" w:eastAsia="Arial Narrow" w:hAnsi="Arial Narrow" w:cs="Arial Narrow"/>
                <w:sz w:val="16"/>
                <w:szCs w:val="16"/>
              </w:rPr>
              <w:t>2,</w:t>
            </w:r>
            <w:r w:rsidR="00154058">
              <w:rPr>
                <w:rFonts w:ascii="Arial Narrow" w:eastAsia="Arial Narrow" w:hAnsi="Arial Narrow" w:cs="Arial Narrow"/>
                <w:sz w:val="16"/>
                <w:szCs w:val="16"/>
                <w:lang w:val="en-US"/>
              </w:rPr>
              <w:t>2</w:t>
            </w:r>
          </w:p>
        </w:tc>
      </w:tr>
      <w:tr w:rsidR="0006551E" w:rsidTr="0006551E">
        <w:trPr>
          <w:trHeight w:val="20"/>
          <w:jc w:val="center"/>
        </w:trPr>
        <w:tc>
          <w:tcPr>
            <w:tcW w:w="4219" w:type="dxa"/>
            <w:tcBorders>
              <w:top w:val="nil"/>
              <w:left w:val="single" w:sz="8" w:space="0" w:color="000000"/>
              <w:bottom w:val="nil"/>
              <w:right w:val="nil"/>
            </w:tcBorders>
          </w:tcPr>
          <w:p w:rsidR="0006551E" w:rsidRDefault="0006551E" w:rsidP="0006551E">
            <w:pPr>
              <w:pStyle w:val="normal"/>
              <w:jc w:val="both"/>
            </w:pPr>
            <w:r w:rsidRPr="0006551E">
              <w:rPr>
                <w:rFonts w:ascii="Arial Narrow" w:eastAsia="Arial Narrow" w:hAnsi="Arial Narrow" w:cs="Arial Narrow"/>
                <w:sz w:val="16"/>
                <w:szCs w:val="16"/>
              </w:rPr>
              <w:t>Όγκος παγκόσμιου εμπορίου (αγαθά και υπηρεσίες)</w:t>
            </w:r>
          </w:p>
        </w:tc>
        <w:tc>
          <w:tcPr>
            <w:tcW w:w="1134" w:type="dxa"/>
            <w:tcBorders>
              <w:top w:val="nil"/>
              <w:left w:val="nil"/>
              <w:bottom w:val="nil"/>
              <w:right w:val="nil"/>
            </w:tcBorders>
          </w:tcPr>
          <w:p w:rsidR="0006551E" w:rsidRPr="00154058" w:rsidRDefault="0006551E" w:rsidP="00E63E6B">
            <w:pPr>
              <w:pStyle w:val="normal"/>
              <w:tabs>
                <w:tab w:val="decimal" w:pos="476"/>
              </w:tabs>
              <w:jc w:val="both"/>
              <w:rPr>
                <w:lang w:val="en-US"/>
              </w:rPr>
            </w:pPr>
            <w:r w:rsidRPr="0006551E">
              <w:rPr>
                <w:rFonts w:ascii="Arial Narrow" w:eastAsia="Arial Narrow" w:hAnsi="Arial Narrow" w:cs="Arial Narrow"/>
                <w:sz w:val="16"/>
                <w:szCs w:val="16"/>
              </w:rPr>
              <w:t>3,</w:t>
            </w:r>
            <w:r w:rsidR="00154058">
              <w:rPr>
                <w:rFonts w:ascii="Arial Narrow" w:eastAsia="Arial Narrow" w:hAnsi="Arial Narrow" w:cs="Arial Narrow"/>
                <w:sz w:val="16"/>
                <w:szCs w:val="16"/>
                <w:lang w:val="en-US"/>
              </w:rPr>
              <w:t>9</w:t>
            </w:r>
          </w:p>
        </w:tc>
        <w:tc>
          <w:tcPr>
            <w:tcW w:w="1276" w:type="dxa"/>
            <w:tcBorders>
              <w:top w:val="nil"/>
              <w:left w:val="nil"/>
              <w:bottom w:val="nil"/>
              <w:right w:val="nil"/>
            </w:tcBorders>
          </w:tcPr>
          <w:p w:rsidR="0006551E" w:rsidRPr="00154058" w:rsidRDefault="00154058" w:rsidP="00E63E6B">
            <w:pPr>
              <w:pStyle w:val="normal"/>
              <w:tabs>
                <w:tab w:val="decimal" w:pos="549"/>
              </w:tabs>
              <w:jc w:val="both"/>
              <w:rPr>
                <w:lang w:val="en-US"/>
              </w:rPr>
            </w:pPr>
            <w:r>
              <w:rPr>
                <w:rFonts w:ascii="Arial Narrow" w:eastAsia="Arial Narrow" w:hAnsi="Arial Narrow" w:cs="Arial Narrow"/>
                <w:sz w:val="16"/>
                <w:szCs w:val="16"/>
                <w:lang w:val="en-US"/>
              </w:rPr>
              <w:t>2,6</w:t>
            </w:r>
          </w:p>
        </w:tc>
        <w:tc>
          <w:tcPr>
            <w:tcW w:w="1134" w:type="dxa"/>
            <w:tcBorders>
              <w:top w:val="nil"/>
              <w:left w:val="nil"/>
              <w:bottom w:val="nil"/>
              <w:right w:val="nil"/>
            </w:tcBorders>
          </w:tcPr>
          <w:p w:rsidR="0006551E" w:rsidRPr="00154058" w:rsidRDefault="00154058" w:rsidP="00E63E6B">
            <w:pPr>
              <w:pStyle w:val="normal"/>
              <w:tabs>
                <w:tab w:val="decimal" w:pos="470"/>
              </w:tabs>
              <w:jc w:val="both"/>
              <w:rPr>
                <w:lang w:val="en-US"/>
              </w:rPr>
            </w:pPr>
            <w:r>
              <w:rPr>
                <w:rFonts w:ascii="Arial Narrow" w:eastAsia="Arial Narrow" w:hAnsi="Arial Narrow" w:cs="Arial Narrow"/>
                <w:sz w:val="16"/>
                <w:szCs w:val="16"/>
                <w:lang w:val="en-US"/>
              </w:rPr>
              <w:t>2,3</w:t>
            </w:r>
          </w:p>
        </w:tc>
        <w:tc>
          <w:tcPr>
            <w:tcW w:w="1276" w:type="dxa"/>
            <w:tcBorders>
              <w:top w:val="nil"/>
              <w:left w:val="nil"/>
              <w:bottom w:val="nil"/>
              <w:right w:val="single" w:sz="8" w:space="0" w:color="000000"/>
            </w:tcBorders>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3,8</w:t>
            </w:r>
          </w:p>
        </w:tc>
      </w:tr>
      <w:tr w:rsidR="0006551E" w:rsidTr="00E63E6B">
        <w:trPr>
          <w:trHeight w:val="20"/>
          <w:jc w:val="center"/>
        </w:trPr>
        <w:tc>
          <w:tcPr>
            <w:tcW w:w="4219" w:type="dxa"/>
            <w:tcBorders>
              <w:top w:val="nil"/>
              <w:left w:val="single" w:sz="8" w:space="0" w:color="000000"/>
              <w:bottom w:val="nil"/>
              <w:right w:val="nil"/>
            </w:tcBorders>
            <w:shd w:val="clear" w:color="auto" w:fill="A6A6A6"/>
            <w:vAlign w:val="center"/>
          </w:tcPr>
          <w:p w:rsidR="0006551E" w:rsidRDefault="0006551E" w:rsidP="00E63E6B">
            <w:pPr>
              <w:pStyle w:val="normal"/>
            </w:pPr>
            <w:r w:rsidRPr="0006551E">
              <w:rPr>
                <w:rFonts w:ascii="Arial Narrow" w:eastAsia="Arial Narrow" w:hAnsi="Arial Narrow" w:cs="Arial Narrow"/>
                <w:sz w:val="16"/>
                <w:szCs w:val="16"/>
              </w:rPr>
              <w:t xml:space="preserve">Πληθωρισμός </w:t>
            </w:r>
          </w:p>
        </w:tc>
        <w:tc>
          <w:tcPr>
            <w:tcW w:w="1134" w:type="dxa"/>
            <w:tcBorders>
              <w:top w:val="nil"/>
              <w:left w:val="nil"/>
              <w:bottom w:val="nil"/>
              <w:right w:val="nil"/>
            </w:tcBorders>
            <w:shd w:val="clear" w:color="auto" w:fill="A6A6A6"/>
            <w:vAlign w:val="center"/>
          </w:tcPr>
          <w:p w:rsidR="0006551E" w:rsidRDefault="0006551E" w:rsidP="00E63E6B">
            <w:pPr>
              <w:pStyle w:val="normal"/>
              <w:tabs>
                <w:tab w:val="decimal" w:pos="476"/>
              </w:tabs>
            </w:pPr>
          </w:p>
        </w:tc>
        <w:tc>
          <w:tcPr>
            <w:tcW w:w="1276" w:type="dxa"/>
            <w:tcBorders>
              <w:top w:val="nil"/>
              <w:left w:val="nil"/>
              <w:bottom w:val="nil"/>
              <w:right w:val="nil"/>
            </w:tcBorders>
            <w:shd w:val="clear" w:color="auto" w:fill="A6A6A6"/>
            <w:vAlign w:val="center"/>
          </w:tcPr>
          <w:p w:rsidR="0006551E" w:rsidRDefault="0006551E" w:rsidP="00E63E6B">
            <w:pPr>
              <w:pStyle w:val="normal"/>
              <w:tabs>
                <w:tab w:val="decimal" w:pos="549"/>
              </w:tabs>
            </w:pPr>
          </w:p>
        </w:tc>
        <w:tc>
          <w:tcPr>
            <w:tcW w:w="1134" w:type="dxa"/>
            <w:tcBorders>
              <w:top w:val="nil"/>
              <w:left w:val="nil"/>
              <w:bottom w:val="nil"/>
              <w:right w:val="nil"/>
            </w:tcBorders>
            <w:shd w:val="clear" w:color="auto" w:fill="A6A6A6"/>
            <w:vAlign w:val="center"/>
          </w:tcPr>
          <w:p w:rsidR="0006551E" w:rsidRDefault="0006551E" w:rsidP="00E63E6B">
            <w:pPr>
              <w:pStyle w:val="normal"/>
              <w:tabs>
                <w:tab w:val="decimal" w:pos="470"/>
              </w:tabs>
            </w:pPr>
          </w:p>
        </w:tc>
        <w:tc>
          <w:tcPr>
            <w:tcW w:w="1276" w:type="dxa"/>
            <w:tcBorders>
              <w:top w:val="nil"/>
              <w:left w:val="nil"/>
              <w:bottom w:val="nil"/>
              <w:right w:val="single" w:sz="8" w:space="0" w:color="000000"/>
            </w:tcBorders>
            <w:shd w:val="clear" w:color="auto" w:fill="A6A6A6"/>
            <w:vAlign w:val="center"/>
          </w:tcPr>
          <w:p w:rsidR="0006551E" w:rsidRDefault="0006551E" w:rsidP="00E63E6B">
            <w:pPr>
              <w:pStyle w:val="normal"/>
              <w:tabs>
                <w:tab w:val="decimal" w:pos="476"/>
              </w:tabs>
            </w:pPr>
          </w:p>
        </w:tc>
      </w:tr>
      <w:tr w:rsidR="0006551E" w:rsidTr="0006551E">
        <w:trPr>
          <w:trHeight w:val="20"/>
          <w:jc w:val="center"/>
        </w:trPr>
        <w:tc>
          <w:tcPr>
            <w:tcW w:w="4219" w:type="dxa"/>
            <w:tcBorders>
              <w:top w:val="nil"/>
              <w:left w:val="single" w:sz="8" w:space="0" w:color="000000"/>
              <w:bottom w:val="nil"/>
              <w:right w:val="nil"/>
            </w:tcBorders>
          </w:tcPr>
          <w:p w:rsidR="0006551E" w:rsidRDefault="0006551E" w:rsidP="00E63E6B">
            <w:pPr>
              <w:pStyle w:val="normal"/>
              <w:jc w:val="both"/>
            </w:pPr>
            <w:r w:rsidRPr="0006551E">
              <w:rPr>
                <w:rFonts w:ascii="Arial Narrow" w:eastAsia="Arial Narrow" w:hAnsi="Arial Narrow" w:cs="Arial Narrow"/>
                <w:sz w:val="16"/>
                <w:szCs w:val="16"/>
              </w:rPr>
              <w:t xml:space="preserve">α. Προηγμένες οικονομίες </w:t>
            </w:r>
          </w:p>
        </w:tc>
        <w:tc>
          <w:tcPr>
            <w:tcW w:w="1134" w:type="dxa"/>
            <w:tcBorders>
              <w:top w:val="nil"/>
              <w:left w:val="nil"/>
              <w:bottom w:val="nil"/>
              <w:right w:val="nil"/>
            </w:tcBorders>
          </w:tcPr>
          <w:p w:rsidR="0006551E" w:rsidRDefault="0006551E" w:rsidP="00E63E6B">
            <w:pPr>
              <w:pStyle w:val="normal"/>
              <w:tabs>
                <w:tab w:val="decimal" w:pos="476"/>
              </w:tabs>
              <w:jc w:val="both"/>
            </w:pPr>
            <w:r w:rsidRPr="0006551E">
              <w:rPr>
                <w:rFonts w:ascii="Arial Narrow" w:eastAsia="Arial Narrow" w:hAnsi="Arial Narrow" w:cs="Arial Narrow"/>
                <w:sz w:val="16"/>
                <w:szCs w:val="16"/>
              </w:rPr>
              <w:t>1,4</w:t>
            </w:r>
          </w:p>
        </w:tc>
        <w:tc>
          <w:tcPr>
            <w:tcW w:w="1276" w:type="dxa"/>
            <w:tcBorders>
              <w:top w:val="nil"/>
              <w:left w:val="nil"/>
              <w:bottom w:val="nil"/>
              <w:right w:val="nil"/>
            </w:tcBorders>
          </w:tcPr>
          <w:p w:rsidR="0006551E" w:rsidRPr="00154058" w:rsidRDefault="00154058" w:rsidP="00E63E6B">
            <w:pPr>
              <w:pStyle w:val="normal"/>
              <w:tabs>
                <w:tab w:val="decimal" w:pos="549"/>
              </w:tabs>
              <w:jc w:val="both"/>
              <w:rPr>
                <w:lang w:val="en-US"/>
              </w:rPr>
            </w:pPr>
            <w:r>
              <w:rPr>
                <w:rFonts w:ascii="Arial Narrow" w:eastAsia="Arial Narrow" w:hAnsi="Arial Narrow" w:cs="Arial Narrow"/>
                <w:sz w:val="16"/>
                <w:szCs w:val="16"/>
                <w:lang w:val="en-US"/>
              </w:rPr>
              <w:t>0,3</w:t>
            </w:r>
          </w:p>
        </w:tc>
        <w:tc>
          <w:tcPr>
            <w:tcW w:w="1134" w:type="dxa"/>
            <w:tcBorders>
              <w:top w:val="nil"/>
              <w:left w:val="nil"/>
              <w:bottom w:val="nil"/>
              <w:right w:val="nil"/>
            </w:tcBorders>
          </w:tcPr>
          <w:p w:rsidR="0006551E" w:rsidRPr="00154058" w:rsidRDefault="0006551E" w:rsidP="00E63E6B">
            <w:pPr>
              <w:pStyle w:val="normal"/>
              <w:tabs>
                <w:tab w:val="decimal" w:pos="470"/>
              </w:tabs>
              <w:jc w:val="both"/>
              <w:rPr>
                <w:lang w:val="en-US"/>
              </w:rPr>
            </w:pPr>
            <w:r w:rsidRPr="0006551E">
              <w:rPr>
                <w:rFonts w:ascii="Arial Narrow" w:eastAsia="Arial Narrow" w:hAnsi="Arial Narrow" w:cs="Arial Narrow"/>
                <w:sz w:val="16"/>
                <w:szCs w:val="16"/>
              </w:rPr>
              <w:t>0,</w:t>
            </w:r>
            <w:r w:rsidR="00154058">
              <w:rPr>
                <w:rFonts w:ascii="Arial Narrow" w:eastAsia="Arial Narrow" w:hAnsi="Arial Narrow" w:cs="Arial Narrow"/>
                <w:sz w:val="16"/>
                <w:szCs w:val="16"/>
                <w:lang w:val="en-US"/>
              </w:rPr>
              <w:t>8</w:t>
            </w:r>
          </w:p>
        </w:tc>
        <w:tc>
          <w:tcPr>
            <w:tcW w:w="1276" w:type="dxa"/>
            <w:tcBorders>
              <w:top w:val="nil"/>
              <w:left w:val="nil"/>
              <w:bottom w:val="nil"/>
              <w:right w:val="single" w:sz="8" w:space="0" w:color="000000"/>
            </w:tcBorders>
          </w:tcPr>
          <w:p w:rsidR="0006551E" w:rsidRPr="00154058" w:rsidRDefault="0006551E" w:rsidP="00E63E6B">
            <w:pPr>
              <w:pStyle w:val="normal"/>
              <w:tabs>
                <w:tab w:val="decimal" w:pos="476"/>
              </w:tabs>
              <w:jc w:val="both"/>
              <w:rPr>
                <w:lang w:val="en-US"/>
              </w:rPr>
            </w:pPr>
            <w:r w:rsidRPr="0006551E">
              <w:rPr>
                <w:rFonts w:ascii="Arial Narrow" w:eastAsia="Arial Narrow" w:hAnsi="Arial Narrow" w:cs="Arial Narrow"/>
                <w:sz w:val="16"/>
                <w:szCs w:val="16"/>
              </w:rPr>
              <w:t>1,</w:t>
            </w:r>
            <w:r w:rsidR="00154058">
              <w:rPr>
                <w:rFonts w:ascii="Arial Narrow" w:eastAsia="Arial Narrow" w:hAnsi="Arial Narrow" w:cs="Arial Narrow"/>
                <w:sz w:val="16"/>
                <w:szCs w:val="16"/>
                <w:lang w:val="en-US"/>
              </w:rPr>
              <w:t>7</w:t>
            </w:r>
          </w:p>
        </w:tc>
      </w:tr>
      <w:tr w:rsidR="0006551E" w:rsidTr="0006551E">
        <w:trPr>
          <w:trHeight w:val="20"/>
          <w:jc w:val="center"/>
        </w:trPr>
        <w:tc>
          <w:tcPr>
            <w:tcW w:w="4219" w:type="dxa"/>
            <w:tcBorders>
              <w:top w:val="nil"/>
              <w:left w:val="single" w:sz="8" w:space="0" w:color="000000"/>
              <w:bottom w:val="nil"/>
              <w:right w:val="nil"/>
            </w:tcBorders>
          </w:tcPr>
          <w:p w:rsidR="0006551E" w:rsidRDefault="0006551E" w:rsidP="0006551E">
            <w:pPr>
              <w:pStyle w:val="normal"/>
              <w:jc w:val="both"/>
            </w:pPr>
            <w:r w:rsidRPr="0006551E">
              <w:rPr>
                <w:rFonts w:ascii="Arial Narrow" w:eastAsia="Arial Narrow" w:hAnsi="Arial Narrow" w:cs="Arial Narrow"/>
                <w:sz w:val="16"/>
                <w:szCs w:val="16"/>
              </w:rPr>
              <w:t>β. Αναδυόμενες και αναπτυσσόμενες οικονομίες</w:t>
            </w:r>
          </w:p>
        </w:tc>
        <w:tc>
          <w:tcPr>
            <w:tcW w:w="1134" w:type="dxa"/>
            <w:tcBorders>
              <w:top w:val="nil"/>
              <w:left w:val="nil"/>
              <w:bottom w:val="nil"/>
              <w:right w:val="nil"/>
            </w:tcBorders>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4,7</w:t>
            </w:r>
          </w:p>
        </w:tc>
        <w:tc>
          <w:tcPr>
            <w:tcW w:w="1276" w:type="dxa"/>
            <w:tcBorders>
              <w:top w:val="nil"/>
              <w:left w:val="nil"/>
              <w:bottom w:val="nil"/>
              <w:right w:val="nil"/>
            </w:tcBorders>
          </w:tcPr>
          <w:p w:rsidR="0006551E" w:rsidRPr="00154058" w:rsidRDefault="00154058" w:rsidP="00E63E6B">
            <w:pPr>
              <w:pStyle w:val="normal"/>
              <w:tabs>
                <w:tab w:val="decimal" w:pos="549"/>
              </w:tabs>
              <w:jc w:val="both"/>
              <w:rPr>
                <w:lang w:val="en-US"/>
              </w:rPr>
            </w:pPr>
            <w:r>
              <w:rPr>
                <w:rFonts w:ascii="Arial Narrow" w:eastAsia="Arial Narrow" w:hAnsi="Arial Narrow" w:cs="Arial Narrow"/>
                <w:sz w:val="16"/>
                <w:szCs w:val="16"/>
                <w:lang w:val="en-US"/>
              </w:rPr>
              <w:t>4,7</w:t>
            </w:r>
          </w:p>
        </w:tc>
        <w:tc>
          <w:tcPr>
            <w:tcW w:w="1134" w:type="dxa"/>
            <w:tcBorders>
              <w:top w:val="nil"/>
              <w:left w:val="nil"/>
              <w:bottom w:val="nil"/>
              <w:right w:val="nil"/>
            </w:tcBorders>
          </w:tcPr>
          <w:p w:rsidR="0006551E" w:rsidRPr="00154058" w:rsidRDefault="00154058" w:rsidP="00E63E6B">
            <w:pPr>
              <w:pStyle w:val="normal"/>
              <w:tabs>
                <w:tab w:val="decimal" w:pos="470"/>
              </w:tabs>
              <w:jc w:val="both"/>
              <w:rPr>
                <w:lang w:val="en-US"/>
              </w:rPr>
            </w:pPr>
            <w:r>
              <w:rPr>
                <w:rFonts w:ascii="Arial Narrow" w:eastAsia="Arial Narrow" w:hAnsi="Arial Narrow" w:cs="Arial Narrow"/>
                <w:sz w:val="16"/>
                <w:szCs w:val="16"/>
                <w:lang w:val="en-US"/>
              </w:rPr>
              <w:t>4,5</w:t>
            </w:r>
          </w:p>
        </w:tc>
        <w:tc>
          <w:tcPr>
            <w:tcW w:w="1276" w:type="dxa"/>
            <w:tcBorders>
              <w:top w:val="nil"/>
              <w:left w:val="nil"/>
              <w:bottom w:val="nil"/>
              <w:right w:val="single" w:sz="8" w:space="0" w:color="000000"/>
            </w:tcBorders>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4,4</w:t>
            </w:r>
          </w:p>
        </w:tc>
      </w:tr>
      <w:tr w:rsidR="0006551E" w:rsidTr="0006551E">
        <w:trPr>
          <w:trHeight w:val="20"/>
          <w:jc w:val="center"/>
        </w:trPr>
        <w:tc>
          <w:tcPr>
            <w:tcW w:w="4219" w:type="dxa"/>
            <w:tcBorders>
              <w:top w:val="nil"/>
              <w:left w:val="single" w:sz="8" w:space="0" w:color="000000"/>
              <w:bottom w:val="single" w:sz="8" w:space="0" w:color="000000"/>
              <w:right w:val="nil"/>
            </w:tcBorders>
            <w:shd w:val="clear" w:color="auto" w:fill="A6A6A6"/>
          </w:tcPr>
          <w:p w:rsidR="0006551E" w:rsidRDefault="0006551E" w:rsidP="0006551E">
            <w:pPr>
              <w:pStyle w:val="normal"/>
              <w:jc w:val="both"/>
            </w:pPr>
            <w:r w:rsidRPr="0006551E">
              <w:rPr>
                <w:rFonts w:ascii="Arial Narrow" w:eastAsia="Arial Narrow" w:hAnsi="Arial Narrow" w:cs="Arial Narrow"/>
                <w:sz w:val="16"/>
                <w:szCs w:val="16"/>
              </w:rPr>
              <w:t>Τιμή πετρελαίου (δολάρια ΗΠΑ, μέση τιμή UK Brent, Dubai Fateh και West Texas Intermediate)</w:t>
            </w:r>
          </w:p>
        </w:tc>
        <w:tc>
          <w:tcPr>
            <w:tcW w:w="1134" w:type="dxa"/>
            <w:tcBorders>
              <w:top w:val="nil"/>
              <w:left w:val="nil"/>
              <w:bottom w:val="single" w:sz="8" w:space="0" w:color="000000"/>
              <w:right w:val="nil"/>
            </w:tcBorders>
            <w:shd w:val="clear" w:color="auto" w:fill="A6A6A6"/>
          </w:tcPr>
          <w:p w:rsidR="0006551E" w:rsidRPr="00154058" w:rsidRDefault="00154058" w:rsidP="00E63E6B">
            <w:pPr>
              <w:pStyle w:val="normal"/>
              <w:tabs>
                <w:tab w:val="decimal" w:pos="476"/>
              </w:tabs>
              <w:jc w:val="both"/>
              <w:rPr>
                <w:lang w:val="en-US"/>
              </w:rPr>
            </w:pPr>
            <w:r>
              <w:rPr>
                <w:rFonts w:ascii="Arial Narrow" w:eastAsia="Arial Narrow" w:hAnsi="Arial Narrow" w:cs="Arial Narrow"/>
                <w:sz w:val="16"/>
                <w:szCs w:val="16"/>
                <w:lang w:val="en-US"/>
              </w:rPr>
              <w:t>96,25</w:t>
            </w:r>
          </w:p>
        </w:tc>
        <w:tc>
          <w:tcPr>
            <w:tcW w:w="1276" w:type="dxa"/>
            <w:tcBorders>
              <w:top w:val="nil"/>
              <w:left w:val="nil"/>
              <w:bottom w:val="single" w:sz="8" w:space="0" w:color="000000"/>
              <w:right w:val="nil"/>
            </w:tcBorders>
            <w:shd w:val="clear" w:color="auto" w:fill="A6A6A6"/>
          </w:tcPr>
          <w:p w:rsidR="0006551E" w:rsidRPr="00154058" w:rsidRDefault="00154058" w:rsidP="00E63E6B">
            <w:pPr>
              <w:pStyle w:val="normal"/>
              <w:tabs>
                <w:tab w:val="decimal" w:pos="549"/>
              </w:tabs>
              <w:jc w:val="both"/>
              <w:rPr>
                <w:lang w:val="en-US"/>
              </w:rPr>
            </w:pPr>
            <w:r>
              <w:rPr>
                <w:rFonts w:ascii="Arial Narrow" w:eastAsia="Arial Narrow" w:hAnsi="Arial Narrow" w:cs="Arial Narrow"/>
                <w:sz w:val="16"/>
                <w:szCs w:val="16"/>
                <w:lang w:val="en-US"/>
              </w:rPr>
              <w:t>50,79</w:t>
            </w:r>
          </w:p>
        </w:tc>
        <w:tc>
          <w:tcPr>
            <w:tcW w:w="1134" w:type="dxa"/>
            <w:tcBorders>
              <w:top w:val="nil"/>
              <w:left w:val="nil"/>
              <w:bottom w:val="single" w:sz="8" w:space="0" w:color="000000"/>
              <w:right w:val="nil"/>
            </w:tcBorders>
            <w:shd w:val="clear" w:color="auto" w:fill="A6A6A6"/>
          </w:tcPr>
          <w:p w:rsidR="0006551E" w:rsidRPr="00154058" w:rsidRDefault="00154058" w:rsidP="00E63E6B">
            <w:pPr>
              <w:pStyle w:val="normal"/>
              <w:tabs>
                <w:tab w:val="decimal" w:pos="470"/>
              </w:tabs>
              <w:jc w:val="both"/>
              <w:rPr>
                <w:lang w:val="en-US"/>
              </w:rPr>
            </w:pPr>
            <w:r>
              <w:rPr>
                <w:rFonts w:ascii="Arial Narrow" w:eastAsia="Arial Narrow" w:hAnsi="Arial Narrow" w:cs="Arial Narrow"/>
                <w:sz w:val="16"/>
                <w:szCs w:val="16"/>
                <w:lang w:val="en-US"/>
              </w:rPr>
              <w:t>42,96</w:t>
            </w:r>
          </w:p>
        </w:tc>
        <w:tc>
          <w:tcPr>
            <w:tcW w:w="1276" w:type="dxa"/>
            <w:tcBorders>
              <w:top w:val="nil"/>
              <w:left w:val="nil"/>
              <w:bottom w:val="single" w:sz="8" w:space="0" w:color="000000"/>
              <w:right w:val="single" w:sz="8" w:space="0" w:color="000000"/>
            </w:tcBorders>
            <w:shd w:val="clear" w:color="auto" w:fill="A6A6A6"/>
          </w:tcPr>
          <w:p w:rsidR="0006551E" w:rsidRPr="00154058" w:rsidRDefault="00C15A67" w:rsidP="00E63E6B">
            <w:pPr>
              <w:pStyle w:val="normal"/>
              <w:tabs>
                <w:tab w:val="decimal" w:pos="476"/>
              </w:tabs>
              <w:jc w:val="both"/>
              <w:rPr>
                <w:lang w:val="en-US"/>
              </w:rPr>
            </w:pPr>
            <w:r>
              <w:rPr>
                <w:rFonts w:ascii="Arial Narrow" w:eastAsia="Arial Narrow" w:hAnsi="Arial Narrow" w:cs="Arial Narrow"/>
                <w:sz w:val="16"/>
                <w:szCs w:val="16"/>
              </w:rPr>
              <w:t>50,</w:t>
            </w:r>
            <w:r w:rsidR="00154058">
              <w:rPr>
                <w:rFonts w:ascii="Arial Narrow" w:eastAsia="Arial Narrow" w:hAnsi="Arial Narrow" w:cs="Arial Narrow"/>
                <w:sz w:val="16"/>
                <w:szCs w:val="16"/>
                <w:lang w:val="en-US"/>
              </w:rPr>
              <w:t>64</w:t>
            </w:r>
          </w:p>
        </w:tc>
      </w:tr>
    </w:tbl>
    <w:p w:rsidR="0006551E" w:rsidRPr="00287FD7" w:rsidRDefault="0006551E" w:rsidP="0006551E">
      <w:pPr>
        <w:pStyle w:val="normal"/>
        <w:jc w:val="both"/>
        <w:rPr>
          <w:lang w:val="en-US"/>
        </w:rPr>
      </w:pPr>
      <w:r>
        <w:rPr>
          <w:rFonts w:ascii="Arial Narrow" w:eastAsia="Arial Narrow" w:hAnsi="Arial Narrow" w:cs="Arial Narrow"/>
          <w:sz w:val="16"/>
          <w:szCs w:val="16"/>
        </w:rPr>
        <w:t>Πηγή</w:t>
      </w:r>
      <w:r w:rsidRPr="00287FD7">
        <w:rPr>
          <w:rFonts w:ascii="Arial Narrow" w:eastAsia="Arial Narrow" w:hAnsi="Arial Narrow" w:cs="Arial Narrow"/>
          <w:sz w:val="16"/>
          <w:szCs w:val="16"/>
          <w:lang w:val="en-US"/>
        </w:rPr>
        <w:t>: IMF, World Economic Outlook (</w:t>
      </w:r>
      <w:r>
        <w:rPr>
          <w:rFonts w:ascii="Arial Narrow" w:eastAsia="Arial Narrow" w:hAnsi="Arial Narrow" w:cs="Arial Narrow"/>
          <w:sz w:val="16"/>
          <w:szCs w:val="16"/>
        </w:rPr>
        <w:t>Οκτώβριος</w:t>
      </w:r>
      <w:r w:rsidRPr="00287FD7">
        <w:rPr>
          <w:rFonts w:ascii="Arial Narrow" w:eastAsia="Arial Narrow" w:hAnsi="Arial Narrow" w:cs="Arial Narrow"/>
          <w:sz w:val="16"/>
          <w:szCs w:val="16"/>
          <w:lang w:val="en-US"/>
        </w:rPr>
        <w:t xml:space="preserve"> 201</w:t>
      </w:r>
      <w:r w:rsidR="00154058">
        <w:rPr>
          <w:rFonts w:ascii="Arial Narrow" w:eastAsia="Arial Narrow" w:hAnsi="Arial Narrow" w:cs="Arial Narrow"/>
          <w:sz w:val="16"/>
          <w:szCs w:val="16"/>
          <w:lang w:val="en-US"/>
        </w:rPr>
        <w:t>6</w:t>
      </w:r>
      <w:r w:rsidRPr="00287FD7">
        <w:rPr>
          <w:rFonts w:ascii="Arial Narrow" w:eastAsia="Arial Narrow" w:hAnsi="Arial Narrow" w:cs="Arial Narrow"/>
          <w:sz w:val="16"/>
          <w:szCs w:val="16"/>
          <w:lang w:val="en-US"/>
        </w:rPr>
        <w:t>).</w:t>
      </w:r>
    </w:p>
    <w:p w:rsidR="0006551E" w:rsidRDefault="0006551E" w:rsidP="0006551E">
      <w:pPr>
        <w:pStyle w:val="normal"/>
        <w:tabs>
          <w:tab w:val="left" w:pos="142"/>
        </w:tabs>
        <w:jc w:val="both"/>
      </w:pPr>
      <w:r>
        <w:rPr>
          <w:rFonts w:ascii="Arial Narrow" w:eastAsia="Arial Narrow" w:hAnsi="Arial Narrow" w:cs="Arial Narrow"/>
          <w:sz w:val="16"/>
          <w:szCs w:val="16"/>
        </w:rPr>
        <w:t>* Προβλέψεις</w:t>
      </w:r>
    </w:p>
    <w:p w:rsidR="0006551E" w:rsidRDefault="0006551E" w:rsidP="0006551E">
      <w:pPr>
        <w:pStyle w:val="normal"/>
        <w:jc w:val="both"/>
      </w:pPr>
    </w:p>
    <w:p w:rsidR="004C0D32" w:rsidRPr="007E3CB7" w:rsidRDefault="004C0D32" w:rsidP="004C0D32">
      <w:pPr>
        <w:jc w:val="both"/>
        <w:rPr>
          <w:rFonts w:ascii="Arial Narrow" w:hAnsi="Arial Narrow"/>
          <w:b/>
          <w:color w:val="000080"/>
        </w:rPr>
      </w:pPr>
      <w:r w:rsidRPr="007E3CB7">
        <w:rPr>
          <w:rFonts w:ascii="Arial Narrow" w:hAnsi="Arial Narrow"/>
          <w:b/>
          <w:color w:val="000080"/>
        </w:rPr>
        <w:t>Η ενιαία νομισματική πολιτική και οι εξελίξεις στις αγορές κεφαλαίων στην Ευρωζώνη</w:t>
      </w:r>
    </w:p>
    <w:p w:rsidR="004C0D32" w:rsidRPr="00B32A67" w:rsidRDefault="004C0D32" w:rsidP="004C0D32">
      <w:pPr>
        <w:jc w:val="both"/>
        <w:rPr>
          <w:sz w:val="22"/>
        </w:rPr>
      </w:pPr>
    </w:p>
    <w:p w:rsidR="00154058" w:rsidRPr="00B32A67" w:rsidRDefault="00154058" w:rsidP="00154058">
      <w:pPr>
        <w:jc w:val="both"/>
        <w:rPr>
          <w:sz w:val="22"/>
        </w:rPr>
      </w:pPr>
      <w:r w:rsidRPr="00154058">
        <w:rPr>
          <w:sz w:val="22"/>
        </w:rPr>
        <w:t>Η οικονομική δραστηριότητα ενισχύθηκε στη ζώνη του ευρώ</w:t>
      </w:r>
      <w:r w:rsidR="00BE5EFD">
        <w:rPr>
          <w:sz w:val="22"/>
        </w:rPr>
        <w:t xml:space="preserve">, με αποτέλεσμα </w:t>
      </w:r>
      <w:r w:rsidRPr="00154058">
        <w:rPr>
          <w:sz w:val="22"/>
        </w:rPr>
        <w:t>ο ετήσιος ρυθμός αύξ</w:t>
      </w:r>
      <w:r w:rsidRPr="00154058">
        <w:rPr>
          <w:sz w:val="22"/>
        </w:rPr>
        <w:t>η</w:t>
      </w:r>
      <w:r w:rsidRPr="00154058">
        <w:rPr>
          <w:sz w:val="22"/>
        </w:rPr>
        <w:t>σης του ΑΕΠ να διαμορφωθεί σε 1,7% το α΄τρίμηνο και 1,6% το β΄τρίμηνο του 2016. Εκτιμάται ότι η οικονομική ανάκαμψη θα συνεχισθεί τα αμέσως επόμενα έτη με ήπιο και περίπου σταθερό ρυθμό. Ωστόσο, οι κίνδυνοι για τις προοπτικές της ανάπτυξης στη ζώνη του ευρώ παραμένουν και προ</w:t>
      </w:r>
      <w:r w:rsidR="00BE5EFD">
        <w:rPr>
          <w:sz w:val="22"/>
        </w:rPr>
        <w:t>έρχο</w:t>
      </w:r>
      <w:r w:rsidR="00BE5EFD">
        <w:rPr>
          <w:sz w:val="22"/>
        </w:rPr>
        <w:t>ν</w:t>
      </w:r>
      <w:r w:rsidR="00BE5EFD">
        <w:rPr>
          <w:sz w:val="22"/>
        </w:rPr>
        <w:t xml:space="preserve">ται κυρίως </w:t>
      </w:r>
      <w:r w:rsidRPr="00154058">
        <w:rPr>
          <w:sz w:val="22"/>
        </w:rPr>
        <w:t xml:space="preserve">από το εξωτερικό </w:t>
      </w:r>
      <w:r w:rsidR="00BE5EFD">
        <w:rPr>
          <w:sz w:val="22"/>
        </w:rPr>
        <w:t xml:space="preserve">της </w:t>
      </w:r>
      <w:r w:rsidRPr="00154058">
        <w:rPr>
          <w:sz w:val="22"/>
        </w:rPr>
        <w:t>περιβάλλον. Ειδικότερα οι κίνδυνοι αυτοί αφορούν τις αβεβαιότητες που σχετίζονται με το αποτέλεσμα του δημοψηφίσματος στ</w:t>
      </w:r>
      <w:r w:rsidR="00BE5EFD">
        <w:rPr>
          <w:sz w:val="22"/>
        </w:rPr>
        <w:t>ο</w:t>
      </w:r>
      <w:r w:rsidRPr="00154058">
        <w:rPr>
          <w:sz w:val="22"/>
        </w:rPr>
        <w:t xml:space="preserve"> </w:t>
      </w:r>
      <w:r w:rsidR="00BE5EFD">
        <w:rPr>
          <w:sz w:val="22"/>
        </w:rPr>
        <w:t xml:space="preserve">Ην. Βασίλειο </w:t>
      </w:r>
      <w:r w:rsidRPr="00154058">
        <w:rPr>
          <w:sz w:val="22"/>
        </w:rPr>
        <w:t xml:space="preserve">και άλλους γεωπολιτικούς παράγοντες, τις περιορισμένες προοπτικές ανάπτυξης στις αναδυόμενες οικονομίες που επηρεάζουν τη ζήτηση στη ζώνη του ευρώ, την αναγκαία περαιτέρω προσαρμογή των ισολογισμών σε ορισμένους κλάδους της οικονομίας και τη βραδύτητα στην εφαρμογή διαρθρωτικών μεταρρυθμίσεων στη ζώνη του ευρώ.   </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Ο ρυθμός πληθωρισμού στη ζώνη του ευρώ παρέμεινε το 2016 σε πολύ χαμηλά επίπεδα, παρουσι</w:t>
      </w:r>
      <w:r w:rsidRPr="00154058">
        <w:rPr>
          <w:sz w:val="22"/>
        </w:rPr>
        <w:t>ά</w:t>
      </w:r>
      <w:r w:rsidRPr="00154058">
        <w:rPr>
          <w:sz w:val="22"/>
        </w:rPr>
        <w:t xml:space="preserve">ζοντας εναλλαγή μεταξύ αρνητικών και θετικών τιμών το α΄εξάμηνο του έτους και διατηρούμενος σε θετικό έδαφος στη διάρκεια του γ΄τριμήνου (Ιανουάριος 2016: 0,3%, Σεπτέμβριος: 0,4%).  </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 xml:space="preserve">Εκτιμάται ότι από τα τέλη του 2016 ο πληθωρισμός θα παρουσιάσει περαιτέρω </w:t>
      </w:r>
      <w:r w:rsidR="00BE5EFD">
        <w:rPr>
          <w:sz w:val="22"/>
        </w:rPr>
        <w:t xml:space="preserve">αύξηση </w:t>
      </w:r>
      <w:r w:rsidRPr="00154058">
        <w:rPr>
          <w:sz w:val="22"/>
        </w:rPr>
        <w:t xml:space="preserve">η οποία θα </w:t>
      </w:r>
      <w:r w:rsidRPr="00154058">
        <w:rPr>
          <w:sz w:val="22"/>
        </w:rPr>
        <w:t>ε</w:t>
      </w:r>
      <w:r w:rsidRPr="00154058">
        <w:rPr>
          <w:sz w:val="22"/>
        </w:rPr>
        <w:t>νισχυθεί τα επόμενα έτη, υποβοηθούμενη από την εξαιρετικά διευκολυντική κατεύθυνση της νομι</w:t>
      </w:r>
      <w:r w:rsidRPr="00154058">
        <w:rPr>
          <w:sz w:val="22"/>
        </w:rPr>
        <w:t>σ</w:t>
      </w:r>
      <w:r w:rsidRPr="00154058">
        <w:rPr>
          <w:sz w:val="22"/>
        </w:rPr>
        <w:t>ματικής πολιτικής του Ευρωσυστήματος και την αναμενόμενη οικονομική ανάκαμψη. Ανοδικά αν</w:t>
      </w:r>
      <w:r w:rsidRPr="00154058">
        <w:rPr>
          <w:sz w:val="22"/>
        </w:rPr>
        <w:t>α</w:t>
      </w:r>
      <w:r w:rsidRPr="00154058">
        <w:rPr>
          <w:sz w:val="22"/>
        </w:rPr>
        <w:t>μένεται να επηρεαστεί ο πληθωρισμός στο άμεσο μέλλον από την άνοδο του ετήσιου ρυθμού μεταβ</w:t>
      </w:r>
      <w:r w:rsidRPr="00154058">
        <w:rPr>
          <w:sz w:val="22"/>
        </w:rPr>
        <w:t>ο</w:t>
      </w:r>
      <w:r w:rsidRPr="00154058">
        <w:rPr>
          <w:sz w:val="22"/>
        </w:rPr>
        <w:t xml:space="preserve">λής των τιμών της ενέργειας, η οποία σε μεγάλο βαθμό οφείλεται στην επίδραση της πολύ χαμηλής </w:t>
      </w:r>
      <w:r w:rsidRPr="00154058">
        <w:rPr>
          <w:sz w:val="22"/>
        </w:rPr>
        <w:lastRenderedPageBreak/>
        <w:t>περυσινής βάσης (</w:t>
      </w:r>
      <w:r w:rsidRPr="00154058">
        <w:rPr>
          <w:sz w:val="22"/>
          <w:lang w:val="en-US"/>
        </w:rPr>
        <w:t>base</w:t>
      </w:r>
      <w:r w:rsidRPr="00154058">
        <w:rPr>
          <w:sz w:val="22"/>
        </w:rPr>
        <w:t xml:space="preserve"> </w:t>
      </w:r>
      <w:r w:rsidRPr="00154058">
        <w:rPr>
          <w:sz w:val="22"/>
          <w:lang w:val="en-US"/>
        </w:rPr>
        <w:t>effect</w:t>
      </w:r>
      <w:r w:rsidRPr="00154058">
        <w:rPr>
          <w:sz w:val="22"/>
        </w:rPr>
        <w:t>). Συγκεκριμένα, σύμφωνα με τις πλέον πρόσφατες μακροοικονομικές προβολές της Ευρωπαϊκής Κεντρικής Τράπεζας (ΕΚΤ) (Σεπτέμβριος 2016), ο ετήσιος ρυθμός πληθ</w:t>
      </w:r>
      <w:r w:rsidRPr="00154058">
        <w:rPr>
          <w:sz w:val="22"/>
        </w:rPr>
        <w:t>ω</w:t>
      </w:r>
      <w:r w:rsidRPr="00154058">
        <w:rPr>
          <w:sz w:val="22"/>
        </w:rPr>
        <w:t>ρισμού αναμένεται να διαμορφωθεί κατά μέσο όρο στα κράτη-μέλη της ζώνης του ευρώ σε 0,2% το 2016, 1,2% το 2017 και 1,6% το 2018.</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Το 2016, όπως εξάλλου και τα προηγούμενα έτη, το Ευρωσύστημα υιοθέτησε δέσμη νέων συμβατ</w:t>
      </w:r>
      <w:r w:rsidRPr="00154058">
        <w:rPr>
          <w:sz w:val="22"/>
        </w:rPr>
        <w:t>ι</w:t>
      </w:r>
      <w:r w:rsidRPr="00154058">
        <w:rPr>
          <w:sz w:val="22"/>
        </w:rPr>
        <w:t xml:space="preserve">κών και μη συμβατικών μέτρων νομισματικής πολιτικής προκειμένου να διασφαλισθεί </w:t>
      </w:r>
      <w:r w:rsidRPr="00154058">
        <w:rPr>
          <w:sz w:val="22"/>
          <w:lang w:val="en-US"/>
        </w:rPr>
        <w:t>o</w:t>
      </w:r>
      <w:r w:rsidRPr="00154058">
        <w:rPr>
          <w:sz w:val="22"/>
        </w:rPr>
        <w:t xml:space="preserve"> πρωταρχικός στόχος της σταθερότητας των τιμών ότι δηλ</w:t>
      </w:r>
      <w:r w:rsidR="00BE5EFD">
        <w:rPr>
          <w:sz w:val="22"/>
        </w:rPr>
        <w:t>αδή</w:t>
      </w:r>
      <w:r w:rsidRPr="00154058">
        <w:rPr>
          <w:sz w:val="22"/>
        </w:rPr>
        <w:t xml:space="preserve"> ο ετήσιος ρυθμός πληθωρισμού στη ζώνη του ευρώ θα επανέλθει μεσοπρόθεσμα σε επίπεδα λίγο χαμηλότερα του 2%. Το Μάρτιο του 2016 το Διοικητικό Συμβούλιο της ΕΚΤ εκτίμησε ότι, αν και η πιστωτική επέκταση και οι συνθήκες δανεισμού των επιχ</w:t>
      </w:r>
      <w:r w:rsidRPr="00154058">
        <w:rPr>
          <w:sz w:val="22"/>
        </w:rPr>
        <w:t>ε</w:t>
      </w:r>
      <w:r w:rsidRPr="00154058">
        <w:rPr>
          <w:sz w:val="22"/>
        </w:rPr>
        <w:t>ιρήσεων και των νοικοκυριών είχαν σημειώσει σαφή βελτίωση από τον Ιούνιο του 2014, η κατεύθυ</w:t>
      </w:r>
      <w:r w:rsidRPr="00154058">
        <w:rPr>
          <w:sz w:val="22"/>
        </w:rPr>
        <w:t>ν</w:t>
      </w:r>
      <w:r w:rsidRPr="00154058">
        <w:rPr>
          <w:sz w:val="22"/>
        </w:rPr>
        <w:t>ση της ενιαίας νομισματικής πολιτικής δεν είχε καταστεί αρκετά διευκολυντική ώστε να αποτραπεί ο κίνδυνος παραμονής του πληθωρισμού σε πολύ χαμηλά επίπεδα για μεγάλο χρονικό διάστημα. Ο κ</w:t>
      </w:r>
      <w:r w:rsidRPr="00154058">
        <w:rPr>
          <w:sz w:val="22"/>
        </w:rPr>
        <w:t>α</w:t>
      </w:r>
      <w:r w:rsidRPr="00154058">
        <w:rPr>
          <w:sz w:val="22"/>
        </w:rPr>
        <w:t>ταγραφόμενος πληθωρισμός εξακολουθούσε να υποχωρεί και η οικονομική δραστηριότητα δεν ενι</w:t>
      </w:r>
      <w:r w:rsidRPr="00154058">
        <w:rPr>
          <w:sz w:val="22"/>
        </w:rPr>
        <w:t>σ</w:t>
      </w:r>
      <w:r w:rsidRPr="00154058">
        <w:rPr>
          <w:sz w:val="22"/>
        </w:rPr>
        <w:t>χυόταν σημαντικά. Συνέχιζε να διαγράφεται ο κίνδυνος οι χαμηλές τιμές της ενέργειας να ασκή</w:t>
      </w:r>
      <w:r w:rsidR="00D72719">
        <w:rPr>
          <w:sz w:val="22"/>
        </w:rPr>
        <w:t>σουν δευτερογενείς επιδράσεις</w:t>
      </w:r>
      <w:r w:rsidRPr="00154058">
        <w:rPr>
          <w:sz w:val="22"/>
        </w:rPr>
        <w:t xml:space="preserve"> δηλαδή καθοδική πίεση στους μισθούς και τις τιμές των τελικών προϊόντων. Με το σκεπτικό αυτό το Διοικητικό Συμβούλιο της ΕΚΤ αποφάσισε να μειώσει κατά 5 μονάδες βάσης το επιτόκιο στις πράξεις κύριας αναχρηματοδότησης του Ευρωσυστήματος και στην πάγια διευκ</w:t>
      </w:r>
      <w:r w:rsidRPr="00154058">
        <w:rPr>
          <w:sz w:val="22"/>
        </w:rPr>
        <w:t>ό</w:t>
      </w:r>
      <w:r w:rsidRPr="00154058">
        <w:rPr>
          <w:sz w:val="22"/>
        </w:rPr>
        <w:t>λυνση οριακής αναχρηματοδότησης σε 0% και 0,25% αντίστοιχα. Το επιτόκιο στην πάγια διευκόλυ</w:t>
      </w:r>
      <w:r w:rsidRPr="00154058">
        <w:rPr>
          <w:sz w:val="22"/>
        </w:rPr>
        <w:t>ν</w:t>
      </w:r>
      <w:r w:rsidRPr="00154058">
        <w:rPr>
          <w:sz w:val="22"/>
        </w:rPr>
        <w:t>ση αποδοχής καταθέσεων μειώθηκε κατά 10 μονάδες βάσης σε -0,40%.</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Επιπρόσθετα, το ύψος των μηνιαίων αγορών χρεογράφων εκ μέρους του Ευρωσυστήματος στο πλα</w:t>
      </w:r>
      <w:r w:rsidRPr="00154058">
        <w:rPr>
          <w:sz w:val="22"/>
        </w:rPr>
        <w:t>ί</w:t>
      </w:r>
      <w:r w:rsidRPr="00154058">
        <w:rPr>
          <w:sz w:val="22"/>
        </w:rPr>
        <w:t>σιο του διευρυμένου προγράμματος αγοράς τίτλων, αυξήθηκε απ</w:t>
      </w:r>
      <w:r w:rsidR="00FB650C">
        <w:rPr>
          <w:sz w:val="22"/>
        </w:rPr>
        <w:t>ό 60 σε 80 δισ</w:t>
      </w:r>
      <w:r w:rsidRPr="00154058">
        <w:rPr>
          <w:sz w:val="22"/>
        </w:rPr>
        <w:t>. ευρώ (αρχής γενομ</w:t>
      </w:r>
      <w:r w:rsidRPr="00154058">
        <w:rPr>
          <w:sz w:val="22"/>
        </w:rPr>
        <w:t>έ</w:t>
      </w:r>
      <w:r w:rsidRPr="00154058">
        <w:rPr>
          <w:sz w:val="22"/>
        </w:rPr>
        <w:t xml:space="preserve">νης από τον Απρίλιο 2016). Το Διοικητικό Συμβούλιο της ΕΚΤ έχει πολλές φορές επιβεβαιώσει την πρόθεσή του να συνεχίσει τις μηνιαίες αγορές στο πλαίσιο του προγράμματος αυτού τουλάχιστον μέχρι το τέλος Μαρτίου του 2017. </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Το Διοικητικό Συμβούλιο της ΕΚΤ αποφάσισε επίσης να προσαρμόσει ορισμένες παραμέτρους του προγράμματος αγοράς τίτλων του δημόσιου τομέα ήτοι: (</w:t>
      </w:r>
      <w:r w:rsidRPr="00154058">
        <w:rPr>
          <w:sz w:val="22"/>
          <w:lang w:val="en-US"/>
        </w:rPr>
        <w:t>i</w:t>
      </w:r>
      <w:r w:rsidRPr="00154058">
        <w:rPr>
          <w:sz w:val="22"/>
        </w:rPr>
        <w:t>) το ανώτατο όριο στο ποσοστό ανά εκδότη και στο ποσοστό ανά έκδοση το οποίο δύναται να αποκτήσει στο χαρτοφυλάκιό του το Ευρωσύστημα για τίτλους διεθνών οργανισμών και πολυμερών αναπτυξιακών τραπεζών (μέσω του προγράμματος αγοράς τίτλων, μέσω της επένδυσης των ιδίων κεφαλαίων των εθνικών κεντρικών τραπεζών κλπ.) α</w:t>
      </w:r>
      <w:r w:rsidRPr="00154058">
        <w:rPr>
          <w:sz w:val="22"/>
        </w:rPr>
        <w:t>υ</w:t>
      </w:r>
      <w:r w:rsidRPr="00154058">
        <w:rPr>
          <w:sz w:val="22"/>
        </w:rPr>
        <w:t>ξήθηκε σε 50% και (</w:t>
      </w:r>
      <w:r w:rsidRPr="00154058">
        <w:rPr>
          <w:sz w:val="22"/>
          <w:lang w:val="en-US"/>
        </w:rPr>
        <w:t>ii</w:t>
      </w:r>
      <w:r w:rsidRPr="00154058">
        <w:rPr>
          <w:sz w:val="22"/>
        </w:rPr>
        <w:t>) από τον Απρίλιο του 2016 και εξής, η ονομαστική αξία των τίτλων διεθνών οργανισμών και πολυμερών αναπτυξιακών τραπεζών, οι οποίοι θα αποκτώνται από το Ευρωσύστημα μέσω του προγράμματος αγοράς, θα πρέπει να αναλογεί στο 10% (από 12% προηγουμένως) της σ</w:t>
      </w:r>
      <w:r w:rsidRPr="00154058">
        <w:rPr>
          <w:sz w:val="22"/>
        </w:rPr>
        <w:t>υ</w:t>
      </w:r>
      <w:r w:rsidRPr="00154058">
        <w:rPr>
          <w:sz w:val="22"/>
        </w:rPr>
        <w:t>νολικής ονομαστικής αξίας των τίτλων του δημόσιου τομέα που αγοράζονται κάθε μήνα στο πλαίσιο του προγράμματος.</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Επιπλέον, το Διοικητικό Συμβούλιο της ΕΚΤ αποφάσισε τη δημιουργία ενός νέου προγράμματος αγ</w:t>
      </w:r>
      <w:r w:rsidRPr="00154058">
        <w:rPr>
          <w:sz w:val="22"/>
        </w:rPr>
        <w:t>ο</w:t>
      </w:r>
      <w:r w:rsidRPr="00154058">
        <w:rPr>
          <w:sz w:val="22"/>
        </w:rPr>
        <w:t>ράς εταιρικών ομολόγων σε ευρώ επενδυτικής βαθμίδας (</w:t>
      </w:r>
      <w:r w:rsidRPr="00154058">
        <w:rPr>
          <w:sz w:val="22"/>
          <w:lang w:val="en-US"/>
        </w:rPr>
        <w:t>investment</w:t>
      </w:r>
      <w:r w:rsidRPr="00154058">
        <w:rPr>
          <w:sz w:val="22"/>
        </w:rPr>
        <w:t>-</w:t>
      </w:r>
      <w:r w:rsidRPr="00154058">
        <w:rPr>
          <w:sz w:val="22"/>
          <w:lang w:val="en-US"/>
        </w:rPr>
        <w:t>grade</w:t>
      </w:r>
      <w:r w:rsidRPr="00154058">
        <w:rPr>
          <w:sz w:val="22"/>
        </w:rPr>
        <w:t>) που έχουν εκδοθεί από μη τραπεζικές επιχειρήσεις με έδρα στη ζώνη του ευρώ (</w:t>
      </w:r>
      <w:r w:rsidRPr="00154058">
        <w:rPr>
          <w:sz w:val="22"/>
          <w:lang w:val="en-US"/>
        </w:rPr>
        <w:t>Corporate</w:t>
      </w:r>
      <w:r w:rsidRPr="00154058">
        <w:rPr>
          <w:sz w:val="22"/>
        </w:rPr>
        <w:t xml:space="preserve"> </w:t>
      </w:r>
      <w:r w:rsidRPr="00154058">
        <w:rPr>
          <w:sz w:val="22"/>
          <w:lang w:val="en-US"/>
        </w:rPr>
        <w:t>Sector</w:t>
      </w:r>
      <w:r w:rsidRPr="00154058">
        <w:rPr>
          <w:sz w:val="22"/>
        </w:rPr>
        <w:t xml:space="preserve"> </w:t>
      </w:r>
      <w:r w:rsidRPr="00154058">
        <w:rPr>
          <w:sz w:val="22"/>
          <w:lang w:val="en-US"/>
        </w:rPr>
        <w:t>Purchase</w:t>
      </w:r>
      <w:r w:rsidRPr="00154058">
        <w:rPr>
          <w:sz w:val="22"/>
        </w:rPr>
        <w:t xml:space="preserve"> </w:t>
      </w:r>
      <w:r w:rsidRPr="00154058">
        <w:rPr>
          <w:sz w:val="22"/>
          <w:lang w:val="en-US"/>
        </w:rPr>
        <w:t>Programme</w:t>
      </w:r>
      <w:r w:rsidRPr="00154058">
        <w:rPr>
          <w:sz w:val="22"/>
        </w:rPr>
        <w:t>-</w:t>
      </w:r>
      <w:r w:rsidRPr="00154058">
        <w:rPr>
          <w:sz w:val="22"/>
          <w:lang w:val="en-US"/>
        </w:rPr>
        <w:t>CSPP</w:t>
      </w:r>
      <w:r w:rsidRPr="00154058">
        <w:rPr>
          <w:sz w:val="22"/>
        </w:rPr>
        <w:t>). Τα ομόλογα αυτά πρέπει κατά το ελάχιστο να πληρούν τα κριτήρια καταλληλότητας για εμπορεύσ</w:t>
      </w:r>
      <w:r w:rsidRPr="00154058">
        <w:rPr>
          <w:sz w:val="22"/>
        </w:rPr>
        <w:t>ι</w:t>
      </w:r>
      <w:r w:rsidRPr="00154058">
        <w:rPr>
          <w:sz w:val="22"/>
        </w:rPr>
        <w:t>μους τίτλους που γίνονται αποδεκτοί στις πράξεις νομισματικής πολιτικής του Ευρωσυστήματος. Το εν λόγω  πρόγραμμα τέθηκε σε εφαρμογή τον Ιούνιο του 2016. Οι ομολογιακοί τίτλοι μη τραπεζικών επιχειρήσεων αποκτώνται από τη δευτερογενή αγορά ή (εφόσον οι εκδότες δεν είναι δημόσιες επιχε</w:t>
      </w:r>
      <w:r w:rsidRPr="00154058">
        <w:rPr>
          <w:sz w:val="22"/>
        </w:rPr>
        <w:t>ι</w:t>
      </w:r>
      <w:r w:rsidRPr="00154058">
        <w:rPr>
          <w:sz w:val="22"/>
        </w:rPr>
        <w:t>ρήσεις) και κατά την έκδοση. Οι αγορές υλοποιούνται από έξι εθνικές κεντρικές τράπεζες (του Βελγ</w:t>
      </w:r>
      <w:r w:rsidRPr="00154058">
        <w:rPr>
          <w:sz w:val="22"/>
        </w:rPr>
        <w:t>ί</w:t>
      </w:r>
      <w:r w:rsidRPr="00154058">
        <w:rPr>
          <w:sz w:val="22"/>
        </w:rPr>
        <w:t>ου, της Γερμανίας, της Ισπανίας, της Γαλλίας, της Ιταλίας και της Φι</w:t>
      </w:r>
      <w:r w:rsidR="000467F7">
        <w:rPr>
          <w:sz w:val="22"/>
        </w:rPr>
        <w:t>ν</w:t>
      </w:r>
      <w:r w:rsidRPr="00154058">
        <w:rPr>
          <w:sz w:val="22"/>
        </w:rPr>
        <w:t>λανδίας), καθεμία από τις οποίες καλύπτει συγκεκριμένη γεωγραφική περιοχή της Νομισματικής Ένωσης, υπό το συντονισμό της ΕΚΤ. Τέλος, καθορίστηκε ανώτατο όριο 70% στο ποσοστό της συνολικής αξίας κάθε έκδοσης τίτλων στην εν λόγω κατηγορία το οποίο δύναται να αποκτήσει το Ευρωσύστημα μέσω του προγράμματος. Το Δ</w:t>
      </w:r>
      <w:r w:rsidRPr="00154058">
        <w:rPr>
          <w:sz w:val="22"/>
        </w:rPr>
        <w:t>ι</w:t>
      </w:r>
      <w:r w:rsidRPr="00154058">
        <w:rPr>
          <w:sz w:val="22"/>
        </w:rPr>
        <w:t xml:space="preserve">οικητικό Συμβούλιο της ΕΚΤ επισήμανε ότι η ένταξη των εν λόγω τίτλων στο πρόγραμμα αγοράς στοχεύει να διευκολύνει τη μετακύλιση της διευκολυντικής κατεύθυνσης της ενιαίας νομισματικής πολιτικής στο κόστος χρηματοδότησης της πραγματικής οικονομίας στη ζώνη του ευρώ. </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lastRenderedPageBreak/>
        <w:t>Επιπροσθέτως, το Διοικητικό Συμβούλιο της ΕΚΤ δρομολόγησε την ανά τρίμηνο διεξαγωγή, εκ μ</w:t>
      </w:r>
      <w:r w:rsidRPr="00154058">
        <w:rPr>
          <w:sz w:val="22"/>
        </w:rPr>
        <w:t>έ</w:t>
      </w:r>
      <w:r w:rsidRPr="00154058">
        <w:rPr>
          <w:sz w:val="22"/>
        </w:rPr>
        <w:t>ρους των εθνικών κεντρικών τραπεζών σε αποκεντρωμένη βάση, από τον Ιούνιο του 2016 μέχρι και το Μάρτιο του 2017, στοχευμένης πράξης πιο μακροπρόθεσμης αναχρηματοδότησης. Ειδικότερα, πρόκειται να διενεργηθεί νέα σειρά συνολικά τεσσάρων πράξεων (TLTRO-II) διάρκειας τεσσάρων ετών η καθεμία (με δυνατότητα πρόωρης εξόφλησης μετά από δύο έτη). Η νέα σειρά στοχευμένων πράξεων παρέχει ισχυρά κίνητρα στις εμπορικές τράπεζες για να στηρίξουν με χρηματοδότηση την οικονομική ανάπτυξη στη ζώνη του ευρώ ενώ παράλληλα, προστατεύει τις τράπεζες, οι οποίες αντιμ</w:t>
      </w:r>
      <w:r w:rsidRPr="00154058">
        <w:rPr>
          <w:sz w:val="22"/>
        </w:rPr>
        <w:t>ε</w:t>
      </w:r>
      <w:r w:rsidRPr="00154058">
        <w:rPr>
          <w:sz w:val="22"/>
        </w:rPr>
        <w:t>τωπίζουν μεγάλης κλίμακας εξοφλήσεις ομολογιακών τίτλων, από τη μεταβλητότητα η οποία επικρ</w:t>
      </w:r>
      <w:r w:rsidRPr="00154058">
        <w:rPr>
          <w:sz w:val="22"/>
        </w:rPr>
        <w:t>α</w:t>
      </w:r>
      <w:r w:rsidRPr="00154058">
        <w:rPr>
          <w:sz w:val="22"/>
        </w:rPr>
        <w:t xml:space="preserve">τεί κατά καιρούς στις διεθνείς χρηματοπιστωτικές αγορές. </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Όσον αφορά τις εξελίξεις στην ενιαία αγορά χρήματος, το επιτόκιο ΕΟΝΙΑ και το αναμενόμενο Ε</w:t>
      </w:r>
      <w:r w:rsidRPr="00154058">
        <w:rPr>
          <w:sz w:val="22"/>
        </w:rPr>
        <w:t>Ο</w:t>
      </w:r>
      <w:r w:rsidRPr="00154058">
        <w:rPr>
          <w:sz w:val="22"/>
        </w:rPr>
        <w:t>ΝΙΑ (δηλ. το σταθερό επιτόκιο στις συμφωνίες ανταλλαγής 3 μηνών του επιτοκίου μίας ημέρας) που από τα τέλη του 2014 έχουν διαμορφωθεί σε επίπεδα κάτω του μηδενός, υποχώρησαν περαιτέρω το α΄τρίμηνο του 2016 λόγω της απόφασης του ΔΣ της ΕΚΤ να μειώσει το επιτόκιο στη διευκόλυνση αποδοχής καταθέσεων σε -0,40% το Μάρτιο και των προσδοκιών για περαιτέρω χαλάρωση της ν</w:t>
      </w:r>
      <w:r w:rsidRPr="00154058">
        <w:rPr>
          <w:sz w:val="22"/>
        </w:rPr>
        <w:t>ο</w:t>
      </w:r>
      <w:r w:rsidRPr="00154058">
        <w:rPr>
          <w:sz w:val="22"/>
        </w:rPr>
        <w:t>μισματικής πολιτικής, ενώ στη συνέχεια διατηρήθηκαν εν πολλοίς σταθερά (μέσος όρος EONIA, Ι</w:t>
      </w:r>
      <w:r w:rsidRPr="00154058">
        <w:rPr>
          <w:sz w:val="22"/>
        </w:rPr>
        <w:t>α</w:t>
      </w:r>
      <w:r w:rsidR="00945EC9">
        <w:rPr>
          <w:sz w:val="22"/>
        </w:rPr>
        <w:t>νουαρίου-20 Οκτωβρίου 2016: -0</w:t>
      </w:r>
      <w:r w:rsidR="00945EC9" w:rsidRPr="00945EC9">
        <w:rPr>
          <w:sz w:val="22"/>
        </w:rPr>
        <w:t>,</w:t>
      </w:r>
      <w:r w:rsidRPr="00154058">
        <w:rPr>
          <w:sz w:val="22"/>
        </w:rPr>
        <w:t xml:space="preserve">31%). Eπίσης, το επιτόκιο Euribor 3 μηνών που από το δεύτερο τρίμηνο του 2015 έγινε αρνητικό, συνέχισε στη διάρκεια του 2016 την πτωτική του πορεία (μέσος </w:t>
      </w:r>
      <w:r w:rsidRPr="00154058">
        <w:rPr>
          <w:sz w:val="22"/>
        </w:rPr>
        <w:t>ό</w:t>
      </w:r>
      <w:r w:rsidRPr="00154058">
        <w:rPr>
          <w:sz w:val="22"/>
        </w:rPr>
        <w:t>ρος τρίμηνου Euribor Ιανουαρίου-20 Οκτωβρίου 2016: -0,25%). Οι εξελίξεις αυτές είναι συνεπείς με την αύξηση του πλεονάσματος ρευστότητας στην ενιαία αγορά χρήματος στο πλαίσιο του διευρυμ</w:t>
      </w:r>
      <w:r w:rsidRPr="00154058">
        <w:rPr>
          <w:sz w:val="22"/>
        </w:rPr>
        <w:t>έ</w:t>
      </w:r>
      <w:r w:rsidRPr="00154058">
        <w:rPr>
          <w:sz w:val="22"/>
        </w:rPr>
        <w:t>νου προγράμματος αγοράς τίτλων από το Ευρωσύστημα σε αυξημένη μάλιστα κλίμακα (από τον Α</w:t>
      </w:r>
      <w:r w:rsidRPr="00154058">
        <w:rPr>
          <w:sz w:val="22"/>
        </w:rPr>
        <w:t>π</w:t>
      </w:r>
      <w:r w:rsidRPr="00154058">
        <w:rPr>
          <w:sz w:val="22"/>
        </w:rPr>
        <w:t>ρίλιο του 2016).</w:t>
      </w:r>
    </w:p>
    <w:p w:rsidR="00547DF1" w:rsidRPr="00B32A67" w:rsidRDefault="00547DF1" w:rsidP="00154058">
      <w:pPr>
        <w:jc w:val="both"/>
        <w:rPr>
          <w:sz w:val="22"/>
        </w:rPr>
      </w:pPr>
    </w:p>
    <w:p w:rsidR="00154058" w:rsidRPr="00B32A67" w:rsidRDefault="00154058" w:rsidP="00154058">
      <w:pPr>
        <w:jc w:val="both"/>
        <w:rPr>
          <w:sz w:val="22"/>
        </w:rPr>
      </w:pPr>
      <w:r w:rsidRPr="00154058">
        <w:rPr>
          <w:sz w:val="22"/>
        </w:rPr>
        <w:t>Η από ετών πτωτική τάση των αποδόσεων των αντιπροσωπευτικών μακροπρόθεσμων (δεκαετών) κρατικών ομολόγων στη ζώνη του ευρώ με την υψηλότερη πιστοληπτική διαβάθμιση (ΑΑΑ) συνεχί</w:t>
      </w:r>
      <w:r w:rsidRPr="00154058">
        <w:rPr>
          <w:sz w:val="22"/>
        </w:rPr>
        <w:t>σ</w:t>
      </w:r>
      <w:r w:rsidRPr="00154058">
        <w:rPr>
          <w:sz w:val="22"/>
        </w:rPr>
        <w:t>θηκε μέχρι τα μέσα περίπου του 2016, οπότε διαμορφώθηκαν σε αρνητικά και ιστορικώς χαμηλά επ</w:t>
      </w:r>
      <w:r w:rsidRPr="00154058">
        <w:rPr>
          <w:sz w:val="22"/>
        </w:rPr>
        <w:t>ί</w:t>
      </w:r>
      <w:r w:rsidRPr="00154058">
        <w:rPr>
          <w:sz w:val="22"/>
        </w:rPr>
        <w:t>πεδα. Οι εξελίξεις αυτές αντανακλούν την εξαιρετικά διευκολυντική κατεύθυνση της νομισματικής πολιτικής στη ζώνη του ευρώ και τις προσδοκίες για περαιτέρω χαλάρωσή της καθώς και τις αβεβαι</w:t>
      </w:r>
      <w:r w:rsidRPr="00154058">
        <w:rPr>
          <w:sz w:val="22"/>
        </w:rPr>
        <w:t>ό</w:t>
      </w:r>
      <w:r w:rsidRPr="00154058">
        <w:rPr>
          <w:sz w:val="22"/>
        </w:rPr>
        <w:t>τητες που δημιούργησε το δημοψήφισμα για την παραμονή τ</w:t>
      </w:r>
      <w:r w:rsidR="00BE5EFD">
        <w:rPr>
          <w:sz w:val="22"/>
        </w:rPr>
        <w:t>ου</w:t>
      </w:r>
      <w:r w:rsidRPr="00154058">
        <w:rPr>
          <w:sz w:val="22"/>
        </w:rPr>
        <w:t xml:space="preserve"> </w:t>
      </w:r>
      <w:r w:rsidR="00BE5EFD">
        <w:rPr>
          <w:sz w:val="22"/>
        </w:rPr>
        <w:t xml:space="preserve">Ην. Βασιλείου </w:t>
      </w:r>
      <w:r w:rsidRPr="00154058">
        <w:rPr>
          <w:sz w:val="22"/>
        </w:rPr>
        <w:t>στην Ευρωπαϊκή Έν</w:t>
      </w:r>
      <w:r w:rsidRPr="00154058">
        <w:rPr>
          <w:sz w:val="22"/>
        </w:rPr>
        <w:t>ω</w:t>
      </w:r>
      <w:r w:rsidRPr="00154058">
        <w:rPr>
          <w:sz w:val="22"/>
        </w:rPr>
        <w:t xml:space="preserve">ση (Ε.Ε.) στο β΄ τρίμηνο του έτους. Από τα μέσα Ιουλίου του 2016 οι αποδόσεις αυτές παρουσίασαν διακυμάνσεις γύρω από τα πολύ χαμηλά αυτά επίπεδα και μέχρι τις 20 Οκτωβρίου κατέγραψαν άνοδο κατά 15 μονάδες βάσης (μέσος όρος απόδοσης 10ετών κρατικών ομολόγων ΑΑΑ στη ζώνη του ευρώ, </w:t>
      </w:r>
      <w:r w:rsidR="00BE5EFD">
        <w:rPr>
          <w:sz w:val="22"/>
        </w:rPr>
        <w:t xml:space="preserve">περιόδου </w:t>
      </w:r>
      <w:r w:rsidRPr="00154058">
        <w:rPr>
          <w:sz w:val="22"/>
        </w:rPr>
        <w:t xml:space="preserve">Ιανουαρίου-20 Οκτωβρίου 2016: 0,15%, </w:t>
      </w:r>
      <w:r w:rsidR="00BE5EFD">
        <w:rPr>
          <w:sz w:val="22"/>
        </w:rPr>
        <w:t xml:space="preserve">περιόδου </w:t>
      </w:r>
      <w:r w:rsidRPr="00154058">
        <w:rPr>
          <w:sz w:val="22"/>
        </w:rPr>
        <w:t>Σεπτεμβρίου-20 Οκτωβρίου 2016: -0,05%), επηρεαζόμενες από τη βελτίωση ορισμένων στοιχείων για την παγκόσμια οικονομία, καθώς και από τις ανησυχίες των επενδυτών διεθνώς για ενδεχόμενο περιορισμό της πολύ χαλαρής νομισμ</w:t>
      </w:r>
      <w:r w:rsidRPr="00154058">
        <w:rPr>
          <w:sz w:val="22"/>
        </w:rPr>
        <w:t>α</w:t>
      </w:r>
      <w:r w:rsidRPr="00154058">
        <w:rPr>
          <w:sz w:val="22"/>
        </w:rPr>
        <w:t>τικής πολιτικής των κεντρικών τραπεζών.</w:t>
      </w:r>
    </w:p>
    <w:p w:rsidR="00547DF1" w:rsidRPr="00B32A67" w:rsidRDefault="00547DF1" w:rsidP="00154058">
      <w:pPr>
        <w:jc w:val="both"/>
        <w:rPr>
          <w:sz w:val="22"/>
        </w:rPr>
      </w:pPr>
    </w:p>
    <w:p w:rsidR="00154058" w:rsidRPr="00154058" w:rsidRDefault="00154058" w:rsidP="00154058">
      <w:pPr>
        <w:jc w:val="both"/>
        <w:rPr>
          <w:sz w:val="22"/>
        </w:rPr>
      </w:pPr>
      <w:r w:rsidRPr="00154058">
        <w:rPr>
          <w:sz w:val="22"/>
        </w:rPr>
        <w:t xml:space="preserve">Αντιστοίχως, οι τιμές των μετοχών στη ζώνη του ευρώ, όπως καταγράφονται από το δείκτη </w:t>
      </w:r>
      <w:r w:rsidRPr="00154058">
        <w:rPr>
          <w:sz w:val="22"/>
          <w:lang w:val="en-US"/>
        </w:rPr>
        <w:t>Dow</w:t>
      </w:r>
      <w:r w:rsidRPr="00154058">
        <w:rPr>
          <w:sz w:val="22"/>
        </w:rPr>
        <w:t xml:space="preserve"> </w:t>
      </w:r>
      <w:r w:rsidRPr="00154058">
        <w:rPr>
          <w:sz w:val="22"/>
          <w:lang w:val="en-US"/>
        </w:rPr>
        <w:t>Jones</w:t>
      </w:r>
      <w:r w:rsidRPr="00154058">
        <w:rPr>
          <w:sz w:val="22"/>
        </w:rPr>
        <w:t xml:space="preserve"> </w:t>
      </w:r>
      <w:r w:rsidRPr="00154058">
        <w:rPr>
          <w:sz w:val="22"/>
          <w:lang w:val="en-US"/>
        </w:rPr>
        <w:t>EuroStoxx</w:t>
      </w:r>
      <w:r w:rsidRPr="00154058">
        <w:rPr>
          <w:sz w:val="22"/>
        </w:rPr>
        <w:t>,  σημείωσαν πτώση  από τις αρχές του 2016 μέχρι τα μέσα Φεβρουαρίου (-17,5%) επηρεαζόμενες κυρίως από την αβεβαιότητα για τις προοπτικές της οικονομίας της Κίνας και τη μ</w:t>
      </w:r>
      <w:r w:rsidRPr="00154058">
        <w:rPr>
          <w:sz w:val="22"/>
        </w:rPr>
        <w:t>ε</w:t>
      </w:r>
      <w:r w:rsidRPr="00154058">
        <w:rPr>
          <w:sz w:val="22"/>
        </w:rPr>
        <w:t>γάλη πτώση της τιμής του πετρελαίου. Στη συνέχεια μέχρι τις 20  Οκτωβρίου ακολούθησαν γενικά ανοδική πορεία (+16,2%), με εξαίρεση τον Ιούνιο του 2016, οπότε οι αγορές μετοχών διεθνώς επηρ</w:t>
      </w:r>
      <w:r w:rsidRPr="00154058">
        <w:rPr>
          <w:sz w:val="22"/>
        </w:rPr>
        <w:t>ε</w:t>
      </w:r>
      <w:r w:rsidRPr="00154058">
        <w:rPr>
          <w:sz w:val="22"/>
        </w:rPr>
        <w:t>άστηκαν αρνητικά και παρουσίασαν υψηλή μεταβλητότητα, λόγω του δημοψηφίσματος στ</w:t>
      </w:r>
      <w:r w:rsidR="00BE5EFD">
        <w:rPr>
          <w:sz w:val="22"/>
        </w:rPr>
        <w:t>ο</w:t>
      </w:r>
      <w:r w:rsidRPr="00154058">
        <w:rPr>
          <w:sz w:val="22"/>
        </w:rPr>
        <w:t xml:space="preserve"> </w:t>
      </w:r>
      <w:r w:rsidR="00BE5EFD">
        <w:rPr>
          <w:sz w:val="22"/>
        </w:rPr>
        <w:t>Ην. Β</w:t>
      </w:r>
      <w:r w:rsidR="00BE5EFD">
        <w:rPr>
          <w:sz w:val="22"/>
        </w:rPr>
        <w:t>α</w:t>
      </w:r>
      <w:r w:rsidR="00BE5EFD">
        <w:rPr>
          <w:sz w:val="22"/>
        </w:rPr>
        <w:t>σίλειο</w:t>
      </w:r>
      <w:r w:rsidRPr="00154058">
        <w:rPr>
          <w:sz w:val="22"/>
        </w:rPr>
        <w:t>. Οι τιμές των μετοχών στη ζώνη του ευρώ επηρεάστηκαν θετικά από τη βελτίωση των συνθ</w:t>
      </w:r>
      <w:r w:rsidRPr="00154058">
        <w:rPr>
          <w:sz w:val="22"/>
        </w:rPr>
        <w:t>η</w:t>
      </w:r>
      <w:r w:rsidRPr="00154058">
        <w:rPr>
          <w:sz w:val="22"/>
        </w:rPr>
        <w:t>κών στην παγκόσμια οικονομία, την ανάκαμψη των τιμών του πετρελαίου</w:t>
      </w:r>
      <w:r w:rsidR="000467F7">
        <w:rPr>
          <w:sz w:val="22"/>
        </w:rPr>
        <w:t>,</w:t>
      </w:r>
      <w:r w:rsidRPr="00154058">
        <w:rPr>
          <w:sz w:val="22"/>
        </w:rPr>
        <w:t xml:space="preserve"> καθώς και την περαιτέρω χαλάρωση της νομισματικής πολιτικής από την ΕΚΤ.</w:t>
      </w:r>
    </w:p>
    <w:p w:rsidR="00847827" w:rsidRPr="00154058" w:rsidRDefault="00847827" w:rsidP="004C0D32">
      <w:pPr>
        <w:jc w:val="both"/>
        <w:rPr>
          <w:sz w:val="22"/>
        </w:rPr>
      </w:pPr>
    </w:p>
    <w:p w:rsidR="0006551E" w:rsidRPr="00944AEC" w:rsidRDefault="0006551E" w:rsidP="0006551E">
      <w:pPr>
        <w:shd w:val="clear" w:color="auto" w:fill="595959"/>
        <w:jc w:val="both"/>
        <w:rPr>
          <w:rFonts w:ascii="Arial Narrow" w:hAnsi="Arial Narrow"/>
          <w:b/>
          <w:color w:val="FFFFFF"/>
          <w:sz w:val="26"/>
          <w:szCs w:val="26"/>
        </w:rPr>
      </w:pPr>
      <w:r w:rsidRPr="00944AEC">
        <w:rPr>
          <w:rFonts w:ascii="Arial Narrow" w:hAnsi="Arial Narrow"/>
          <w:b/>
          <w:color w:val="FFFFFF"/>
        </w:rPr>
        <w:t>2.</w:t>
      </w:r>
      <w:r w:rsidRPr="00944AEC">
        <w:rPr>
          <w:rFonts w:ascii="Arial Narrow" w:hAnsi="Arial Narrow"/>
          <w:b/>
          <w:color w:val="FFFFFF"/>
          <w:sz w:val="26"/>
          <w:szCs w:val="26"/>
        </w:rPr>
        <w:tab/>
        <w:t>Οι οικονομικές εξελίξεις στην Ελλάδα</w:t>
      </w:r>
    </w:p>
    <w:p w:rsidR="0006551E" w:rsidRDefault="0006551E" w:rsidP="0006551E">
      <w:pPr>
        <w:pStyle w:val="normal"/>
        <w:jc w:val="both"/>
      </w:pPr>
    </w:p>
    <w:p w:rsidR="009666A7" w:rsidRPr="006E219D" w:rsidRDefault="009666A7" w:rsidP="009666A7">
      <w:pPr>
        <w:ind w:left="567" w:hanging="567"/>
        <w:jc w:val="both"/>
        <w:rPr>
          <w:rFonts w:ascii="Arial Narrow" w:hAnsi="Arial Narrow"/>
          <w:b/>
          <w:color w:val="000080"/>
          <w:szCs w:val="22"/>
        </w:rPr>
      </w:pPr>
      <w:bookmarkStart w:id="1" w:name="h.gjdgxs" w:colFirst="0" w:colLast="0"/>
      <w:bookmarkEnd w:id="1"/>
      <w:r w:rsidRPr="006E219D">
        <w:rPr>
          <w:rFonts w:ascii="Arial Narrow" w:hAnsi="Arial Narrow"/>
          <w:b/>
          <w:color w:val="000080"/>
          <w:szCs w:val="22"/>
        </w:rPr>
        <w:t>2.1</w:t>
      </w:r>
      <w:r w:rsidRPr="006E219D">
        <w:rPr>
          <w:rFonts w:ascii="Arial Narrow" w:hAnsi="Arial Narrow"/>
          <w:b/>
          <w:color w:val="000080"/>
          <w:szCs w:val="22"/>
        </w:rPr>
        <w:tab/>
        <w:t xml:space="preserve">Γενική </w:t>
      </w:r>
      <w:bookmarkStart w:id="2" w:name="_Toc290575760"/>
      <w:r w:rsidR="00867B36">
        <w:rPr>
          <w:rFonts w:ascii="Arial Narrow" w:hAnsi="Arial Narrow"/>
          <w:b/>
          <w:color w:val="000080"/>
          <w:szCs w:val="22"/>
        </w:rPr>
        <w:t>επισκόπηση της ε</w:t>
      </w:r>
      <w:r w:rsidRPr="006E219D">
        <w:rPr>
          <w:rFonts w:ascii="Arial Narrow" w:hAnsi="Arial Narrow"/>
          <w:b/>
          <w:color w:val="000080"/>
          <w:szCs w:val="22"/>
        </w:rPr>
        <w:t>λληνικής οικονομίας</w:t>
      </w:r>
    </w:p>
    <w:p w:rsidR="009666A7" w:rsidRPr="006E219D" w:rsidRDefault="009666A7" w:rsidP="009666A7">
      <w:pPr>
        <w:ind w:left="567" w:hanging="567"/>
        <w:jc w:val="both"/>
        <w:rPr>
          <w:rFonts w:ascii="Arial Narrow" w:hAnsi="Arial Narrow"/>
          <w:b/>
          <w:color w:val="000080"/>
          <w:szCs w:val="22"/>
        </w:rPr>
      </w:pPr>
    </w:p>
    <w:bookmarkEnd w:id="2"/>
    <w:p w:rsidR="009666A7" w:rsidRPr="0057071D" w:rsidRDefault="009666A7" w:rsidP="009666A7">
      <w:pPr>
        <w:jc w:val="both"/>
        <w:rPr>
          <w:sz w:val="22"/>
          <w:szCs w:val="22"/>
        </w:rPr>
      </w:pPr>
      <w:r w:rsidRPr="0057071D">
        <w:rPr>
          <w:sz w:val="22"/>
          <w:szCs w:val="22"/>
        </w:rPr>
        <w:t>Το μίγμα περιοριστικής δημοσιονομικής πολιτικής και εσωτερικής υποτίμησης που ακολουθήθηκε από το 2010, προκειμένου να επιτευχθεί η προσαρμογή των δίδυμων ελλειμμάτων της ελληνικής ο</w:t>
      </w:r>
      <w:r w:rsidRPr="0057071D">
        <w:rPr>
          <w:sz w:val="22"/>
          <w:szCs w:val="22"/>
        </w:rPr>
        <w:t>ι</w:t>
      </w:r>
      <w:r w:rsidRPr="0057071D">
        <w:rPr>
          <w:sz w:val="22"/>
          <w:szCs w:val="22"/>
        </w:rPr>
        <w:t xml:space="preserve">κονομίας σε βιώσιμα επίπεδα, επέφερε σημαντικές κοινωνικοοικονομικές συνέπειες σε μία περίοδο </w:t>
      </w:r>
      <w:r w:rsidRPr="0057071D">
        <w:rPr>
          <w:sz w:val="22"/>
          <w:szCs w:val="22"/>
        </w:rPr>
        <w:lastRenderedPageBreak/>
        <w:t>ήδη αυξημένης εισοδηματικής ανισότητας</w:t>
      </w:r>
      <w:r w:rsidRPr="0057071D">
        <w:rPr>
          <w:sz w:val="22"/>
          <w:szCs w:val="22"/>
          <w:vertAlign w:val="superscript"/>
        </w:rPr>
        <w:footnoteReference w:id="6"/>
      </w:r>
      <w:r w:rsidRPr="0057071D">
        <w:rPr>
          <w:sz w:val="22"/>
          <w:szCs w:val="22"/>
        </w:rPr>
        <w:t>. Την περίοδο 2007-2011, το μέσο ελληνικό νοικοκυριό αντιμετώπισε ετήσια μείωση του καθαρού, πραγματικού διαθέσιμου εισοδήματός του άνω του 8%</w:t>
      </w:r>
      <w:r w:rsidRPr="0057071D">
        <w:rPr>
          <w:sz w:val="22"/>
          <w:szCs w:val="22"/>
          <w:vertAlign w:val="superscript"/>
        </w:rPr>
        <w:footnoteReference w:id="7"/>
      </w:r>
      <w:r w:rsidRPr="0057071D">
        <w:rPr>
          <w:sz w:val="22"/>
          <w:szCs w:val="22"/>
        </w:rPr>
        <w:t>, ενώ το 2012 τα νοικοκυριά στο χαμηλότερο 20% της εισοδηματικής κλίμακας κατείχαν το 6,4% του συνολικού εισοδήματος, σε αντίθεση με τα νοικοκυριά στο υψηλότερο 20%, που κατείχαν το 40,3% του συνολικού εισοδήματος.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Αλληλένδετες επιδράσεις της εσωτερικής υποτίμησης που εφαρμόστηκε τα προηγούμενα χρόνια υπ</w:t>
      </w:r>
      <w:r w:rsidRPr="0057071D">
        <w:rPr>
          <w:sz w:val="22"/>
          <w:szCs w:val="22"/>
        </w:rPr>
        <w:t>έ</w:t>
      </w:r>
      <w:r w:rsidRPr="0057071D">
        <w:rPr>
          <w:sz w:val="22"/>
          <w:szCs w:val="22"/>
        </w:rPr>
        <w:t>βαλαν την ελληνική οικονομία σε καθοδικό κύκλο μειωμένης εγχώριας ζήτησης, αυξανόμενης ανε</w:t>
      </w:r>
      <w:r w:rsidRPr="0057071D">
        <w:rPr>
          <w:sz w:val="22"/>
          <w:szCs w:val="22"/>
        </w:rPr>
        <w:t>ρ</w:t>
      </w:r>
      <w:r w:rsidRPr="0057071D">
        <w:rPr>
          <w:sz w:val="22"/>
          <w:szCs w:val="22"/>
        </w:rPr>
        <w:t xml:space="preserve">γίας και μειούμενου διαθέσιμου εισοδήματος. Η εξέλιξη αυτή υπήρξε ιδιαίτερα δυσμενής για την </w:t>
      </w:r>
      <w:r w:rsidRPr="0057071D">
        <w:rPr>
          <w:sz w:val="22"/>
          <w:szCs w:val="22"/>
        </w:rPr>
        <w:t>α</w:t>
      </w:r>
      <w:r w:rsidRPr="0057071D">
        <w:rPr>
          <w:sz w:val="22"/>
          <w:szCs w:val="22"/>
        </w:rPr>
        <w:t>γορά εργασίας, με το ποσοστό της απασχόλησης να μειώνεται κατά 4,6% σε ετήσιους μέσους όρους μεταξύ 2010 και 2013, και το ποσοστό ανεργίας να επιδεινώνεται κατά 15,8 εκατοστιαίες μονάδες ε</w:t>
      </w:r>
      <w:r w:rsidRPr="0057071D">
        <w:rPr>
          <w:sz w:val="22"/>
          <w:szCs w:val="22"/>
        </w:rPr>
        <w:t>ν</w:t>
      </w:r>
      <w:r w:rsidRPr="0057071D">
        <w:rPr>
          <w:sz w:val="22"/>
          <w:szCs w:val="22"/>
        </w:rPr>
        <w:t>τός του ίδιου διαστήματος</w:t>
      </w:r>
      <w:r w:rsidRPr="0057071D">
        <w:rPr>
          <w:sz w:val="22"/>
          <w:szCs w:val="22"/>
          <w:vertAlign w:val="superscript"/>
        </w:rPr>
        <w:footnoteReference w:id="8"/>
      </w:r>
      <w:r w:rsidRPr="0057071D">
        <w:rPr>
          <w:sz w:val="22"/>
          <w:szCs w:val="22"/>
        </w:rPr>
        <w:t>. Η επιδείνωση των βασικών δεικτών της αγοράς εργασίας, σε συνδυασμό με την απώλεια του 65,8% του όγκου των επενδύσεων μεταξύ 2008 και 2014 και τη μέση ετήσια συ</w:t>
      </w:r>
      <w:r w:rsidRPr="0057071D">
        <w:rPr>
          <w:sz w:val="22"/>
          <w:szCs w:val="22"/>
        </w:rPr>
        <w:t>ρ</w:t>
      </w:r>
      <w:r w:rsidRPr="0057071D">
        <w:rPr>
          <w:sz w:val="22"/>
          <w:szCs w:val="22"/>
        </w:rPr>
        <w:t>ρίκνωση της τελικής εγχώριας ζήτησης κατά 6,2% μεταξύ 2009 και 2014, οδήγησαν σε σημαντική μ</w:t>
      </w:r>
      <w:r w:rsidRPr="0057071D">
        <w:rPr>
          <w:sz w:val="22"/>
          <w:szCs w:val="22"/>
        </w:rPr>
        <w:t>ε</w:t>
      </w:r>
      <w:r w:rsidRPr="0057071D">
        <w:rPr>
          <w:sz w:val="22"/>
          <w:szCs w:val="22"/>
        </w:rPr>
        <w:t>ίωση το ακαθάριστο ονομαστικό διαθέσιμο εισόδημα των νοικοκυριών κατά τη διάρκεια των δύο πρώτων προγραμμάτων οικονομικής προσαρμογής.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Το 2014 εμφανίστηκαν οι πρώτες ενδείξεις ανάκαμψης στην αγορά εργασίας, με τη μείωση της ανε</w:t>
      </w:r>
      <w:r w:rsidRPr="0057071D">
        <w:rPr>
          <w:sz w:val="22"/>
          <w:szCs w:val="22"/>
        </w:rPr>
        <w:t>ρ</w:t>
      </w:r>
      <w:r w:rsidRPr="0057071D">
        <w:rPr>
          <w:sz w:val="22"/>
          <w:szCs w:val="22"/>
        </w:rPr>
        <w:t>γίας κατά 0,8 ποσοστιαίες μονάδες, στο 24,2% του εργατικού δυναμικού</w:t>
      </w:r>
      <w:r w:rsidRPr="0057071D">
        <w:rPr>
          <w:sz w:val="22"/>
          <w:szCs w:val="22"/>
          <w:vertAlign w:val="superscript"/>
        </w:rPr>
        <w:footnoteReference w:id="9"/>
      </w:r>
      <w:r w:rsidRPr="0057071D">
        <w:rPr>
          <w:sz w:val="22"/>
          <w:szCs w:val="22"/>
        </w:rPr>
        <w:t>, υπό συνθήκες μείωσης του μέσου μισθού (κατά 17,2% σωρευτικά από το 2010 και κατά 2,1% εντός του έτους). Η συνεισφορά του εξωτερικού τομέα στην αύξηση του ΑΕΠ υπήρξε αρνητική, με τον οριακά θετικό ρυθμό ανάπτ</w:t>
      </w:r>
      <w:r w:rsidRPr="0057071D">
        <w:rPr>
          <w:sz w:val="22"/>
          <w:szCs w:val="22"/>
        </w:rPr>
        <w:t>υ</w:t>
      </w:r>
      <w:r w:rsidRPr="0057071D">
        <w:rPr>
          <w:sz w:val="22"/>
          <w:szCs w:val="22"/>
        </w:rPr>
        <w:t xml:space="preserve">ξης να οφείλεται αποκλειστικά στην αύξηση της πραγματικής ιδιωτικής κατανάλωσης. Το ποσοστό αποταμίευσης επί του διαθέσιμου εισοδήματος των νοικοκυριών επίσης συνέχισε να είναι αρνητικό, με επιταχυνόμενο μάλιστα ρυθμό, καθώς το επίπεδο της ιδιωτικής κατανάλωσης υπερέβαινε αυτό του διαθέσιμου εισοδήματος.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πορεία των κοινωνικοοικονομικών δεικτών κατέστησε στις αρχές του 2015 φανερή την ανάγκη να επαναπροσδιοριστεί η οικονομική πολιτική, με τη δημιουργία δημοσιονομικών δυνατοτήτων (</w:t>
      </w:r>
      <w:r w:rsidRPr="0057071D">
        <w:rPr>
          <w:sz w:val="22"/>
          <w:szCs w:val="22"/>
          <w:lang w:val="en-US"/>
        </w:rPr>
        <w:t>fiscal</w:t>
      </w:r>
      <w:r w:rsidRPr="0057071D">
        <w:rPr>
          <w:sz w:val="22"/>
          <w:szCs w:val="22"/>
        </w:rPr>
        <w:t xml:space="preserve"> </w:t>
      </w:r>
      <w:r w:rsidRPr="0057071D">
        <w:rPr>
          <w:sz w:val="22"/>
          <w:szCs w:val="22"/>
          <w:lang w:val="en-US"/>
        </w:rPr>
        <w:t>space</w:t>
      </w:r>
      <w:r w:rsidRPr="0057071D">
        <w:rPr>
          <w:sz w:val="22"/>
          <w:szCs w:val="22"/>
        </w:rPr>
        <w:t>) και την έμφαση στην εφαρμογή των διαρθρωτικών αλλαγών. Η εξάμηνη περίοδος που ακολ</w:t>
      </w:r>
      <w:r w:rsidRPr="0057071D">
        <w:rPr>
          <w:sz w:val="22"/>
          <w:szCs w:val="22"/>
        </w:rPr>
        <w:t>ο</w:t>
      </w:r>
      <w:r w:rsidRPr="0057071D">
        <w:rPr>
          <w:sz w:val="22"/>
          <w:szCs w:val="22"/>
        </w:rPr>
        <w:t>ύθησε χαρακτηρίστηκε από παρατεταμένες διαπραγματεύσεις με τους Θεσμούς επί των όρων ενός ν</w:t>
      </w:r>
      <w:r w:rsidRPr="0057071D">
        <w:rPr>
          <w:sz w:val="22"/>
          <w:szCs w:val="22"/>
        </w:rPr>
        <w:t>έ</w:t>
      </w:r>
      <w:r w:rsidRPr="0057071D">
        <w:rPr>
          <w:sz w:val="22"/>
          <w:szCs w:val="22"/>
        </w:rPr>
        <w:t>ου προγράμματος χρηματοδότησης. Κατά το διάστημα αυτό, η χρηματοδότηση της οικονομίας υπή</w:t>
      </w:r>
      <w:r w:rsidRPr="0057071D">
        <w:rPr>
          <w:sz w:val="22"/>
          <w:szCs w:val="22"/>
        </w:rPr>
        <w:t>ρ</w:t>
      </w:r>
      <w:r w:rsidRPr="0057071D">
        <w:rPr>
          <w:sz w:val="22"/>
          <w:szCs w:val="22"/>
        </w:rPr>
        <w:t>ξε ιδιαίτερα περιορισμένη λόγω της αύξησης της οικονομικής αβεβαιότητας, της μεγάλης εκροής κ</w:t>
      </w:r>
      <w:r w:rsidRPr="0057071D">
        <w:rPr>
          <w:sz w:val="22"/>
          <w:szCs w:val="22"/>
        </w:rPr>
        <w:t>α</w:t>
      </w:r>
      <w:r w:rsidRPr="0057071D">
        <w:rPr>
          <w:sz w:val="22"/>
          <w:szCs w:val="22"/>
        </w:rPr>
        <w:t xml:space="preserve">ταθέσεων από το τραπεζικό σύστημα και της απόφασης της ΕΚΤ, τον Φεβρουάριο του 2015, για </w:t>
      </w:r>
      <w:r w:rsidRPr="0057071D">
        <w:rPr>
          <w:sz w:val="22"/>
          <w:szCs w:val="22"/>
        </w:rPr>
        <w:t>α</w:t>
      </w:r>
      <w:r w:rsidRPr="0057071D">
        <w:rPr>
          <w:sz w:val="22"/>
          <w:szCs w:val="22"/>
        </w:rPr>
        <w:t xml:space="preserve">ναστολή της αποδοχής ελληνικών ομολόγων με </w:t>
      </w:r>
      <w:r w:rsidR="00BE5EFD">
        <w:rPr>
          <w:sz w:val="22"/>
          <w:szCs w:val="22"/>
        </w:rPr>
        <w:t xml:space="preserve">χαμηλή </w:t>
      </w:r>
      <w:r w:rsidRPr="0057071D">
        <w:rPr>
          <w:sz w:val="22"/>
          <w:szCs w:val="22"/>
        </w:rPr>
        <w:t>πιστοληπτική αξιολόγηση. Έκτοτε, και μέχρι τις 29 Ιουνίου 2016 οπότε η ΕΚΤ έκανε πάλι αποδεκτά τα ελληνικά ομόλογα, οι ελληνικές τράπεζες χρηματοδοτούνταν με αυξημένο κόστος δανεισμού από τον Έκτακτο Μηχανισμό Ρευστότητας (ELA), σύμφωνα με τους κανόνες του Ευρωσυστήματος.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Το νέο τριετές πρόγραμμα στήριξης σταθερότητας μέσω του Ευρωπαϊκού Μηχανισμού Σταθερότητας που συμφωνήθηκε με τους Θεσμούς άρχισε να υλοποιείται τον Αύγουστο του 2015. Το νέο πρόγρα</w:t>
      </w:r>
      <w:r w:rsidRPr="0057071D">
        <w:rPr>
          <w:sz w:val="22"/>
          <w:szCs w:val="22"/>
        </w:rPr>
        <w:t>μ</w:t>
      </w:r>
      <w:r w:rsidRPr="0057071D">
        <w:rPr>
          <w:sz w:val="22"/>
          <w:szCs w:val="22"/>
        </w:rPr>
        <w:t>μα περιλαμβάνει δέσμες μέτρων ανά τομέα πολιτικής, με έμφαση σε διαρθρωτικές αλλαγές αλλά και σε βασικούς κοινωνικούς στόχους, ώστε να δρομολογηθεί η σταδιακή αποκατάσταση των κοινωνικών ανισορροπιών.</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νέα δημοσιονομική προσαρμογή, όπως συμφωνήθηκε και αποτυπώθηκε στη Σύμβαση Χρηματοδ</w:t>
      </w:r>
      <w:r w:rsidRPr="0057071D">
        <w:rPr>
          <w:sz w:val="22"/>
          <w:szCs w:val="22"/>
        </w:rPr>
        <w:t>ο</w:t>
      </w:r>
      <w:r w:rsidRPr="0057071D">
        <w:rPr>
          <w:sz w:val="22"/>
          <w:szCs w:val="22"/>
        </w:rPr>
        <w:t>τικής Διευκόλυνσης (ΣΧΔ) με τους Θεσμούς, προβλέπει στόχους πρωτογενούς πλεονάσματος -0,25% του ΑΕΠ για το 2015, 0,5% για το 2016, 1,75% για το 2017 και 3,5% για το 2018.Οι στόχοι αυτοί για τα πρωτογενή πλεονάσματα έως το 2018, όντας σημαντικά χαμηλότεροι του προηγούμενου προγρά</w:t>
      </w:r>
      <w:r w:rsidRPr="0057071D">
        <w:rPr>
          <w:sz w:val="22"/>
          <w:szCs w:val="22"/>
        </w:rPr>
        <w:t>μ</w:t>
      </w:r>
      <w:r w:rsidRPr="0057071D">
        <w:rPr>
          <w:sz w:val="22"/>
          <w:szCs w:val="22"/>
        </w:rPr>
        <w:lastRenderedPageBreak/>
        <w:t>ματος, μειώνουν σημαντικά το ύψος των απαιτούμενων δημοσιονομικών μέτρων, απελευθερώνοντας χώρο για τη σταδιακή ανάκαμψη της οικονομίας και αυξάνοντας την αξιοπιστία του προγράμματος.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Την ίδια στιγμή, αύξηση της αξιοπιστίας προκύπτει από τον οδικό χάρτη για τη διευθέτηση του ζητ</w:t>
      </w:r>
      <w:r w:rsidRPr="0057071D">
        <w:rPr>
          <w:sz w:val="22"/>
          <w:szCs w:val="22"/>
        </w:rPr>
        <w:t>ή</w:t>
      </w:r>
      <w:r w:rsidRPr="0057071D">
        <w:rPr>
          <w:sz w:val="22"/>
          <w:szCs w:val="22"/>
        </w:rPr>
        <w:t xml:space="preserve">ματος της βιωσιμότητας του ελληνικού δημόσιου χρέους, ο οποίος υιοθετήθηκε στη συνεδρίαση του </w:t>
      </w:r>
      <w:r w:rsidRPr="0057071D">
        <w:rPr>
          <w:sz w:val="22"/>
          <w:szCs w:val="22"/>
          <w:lang w:val="en-GB"/>
        </w:rPr>
        <w:t>Eurogroup</w:t>
      </w:r>
      <w:r w:rsidRPr="0057071D">
        <w:rPr>
          <w:sz w:val="22"/>
          <w:szCs w:val="22"/>
        </w:rPr>
        <w:t xml:space="preserve"> της 24</w:t>
      </w:r>
      <w:r w:rsidRPr="0057071D">
        <w:rPr>
          <w:sz w:val="22"/>
          <w:szCs w:val="22"/>
          <w:vertAlign w:val="superscript"/>
        </w:rPr>
        <w:t>ης</w:t>
      </w:r>
      <w:r w:rsidRPr="0057071D">
        <w:rPr>
          <w:sz w:val="22"/>
          <w:szCs w:val="22"/>
        </w:rPr>
        <w:t xml:space="preserve"> Μαΐου 2016, με στόχο την ομαλοποίηση των ακαθάριστων χρηματοδοτικών </w:t>
      </w:r>
      <w:r w:rsidRPr="0057071D">
        <w:rPr>
          <w:sz w:val="22"/>
          <w:szCs w:val="22"/>
        </w:rPr>
        <w:t>α</w:t>
      </w:r>
      <w:r w:rsidRPr="0057071D">
        <w:rPr>
          <w:sz w:val="22"/>
          <w:szCs w:val="22"/>
        </w:rPr>
        <w:t>ναγκών της οικονομίας. Οι δέσμες μέτρων βραχυπρόθεσμου, μεσοπρόθεσμου και μακροπρόθεσμου χαρακτήρα που το πρόγραμμα περιλαμβάνει, αναμένεται να εξειδικευτούν περαιτέρω το επόμενο δ</w:t>
      </w:r>
      <w:r w:rsidRPr="0057071D">
        <w:rPr>
          <w:sz w:val="22"/>
          <w:szCs w:val="22"/>
        </w:rPr>
        <w:t>ι</w:t>
      </w:r>
      <w:r w:rsidRPr="0057071D">
        <w:rPr>
          <w:sz w:val="22"/>
          <w:szCs w:val="22"/>
        </w:rPr>
        <w:t>άστημα, ενισχύοντας το κλίμα εμπιστοσύνης και δημιουργώντας ευνοϊκές προϋποθέσεις για μακρο</w:t>
      </w:r>
      <w:r w:rsidRPr="0057071D">
        <w:rPr>
          <w:sz w:val="22"/>
          <w:szCs w:val="22"/>
        </w:rPr>
        <w:t>π</w:t>
      </w:r>
      <w:r w:rsidRPr="0057071D">
        <w:rPr>
          <w:sz w:val="22"/>
          <w:szCs w:val="22"/>
        </w:rPr>
        <w:t>ρόθεσμες επενδύσεις στη χώρα.</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Οι νέοι δημοσιονομικοί στόχοι είναι σχεδιασμένοι ώστε να είναι συμβατοί με τους αναμενόμενους ρυθμούς ανάπτυξης της Ελληνικής οικονομίας, καθώς θα ανακάμπτει από τη βαθύτερη και πιο παρ</w:t>
      </w:r>
      <w:r w:rsidRPr="0057071D">
        <w:rPr>
          <w:sz w:val="22"/>
          <w:szCs w:val="22"/>
        </w:rPr>
        <w:t>α</w:t>
      </w:r>
      <w:r w:rsidRPr="0057071D">
        <w:rPr>
          <w:sz w:val="22"/>
          <w:szCs w:val="22"/>
        </w:rPr>
        <w:t>τεταμένη ύφεση της ιστορίας της. Η επίτευξή τους επιχειρείται μέσω ενός συνδυασμού:</w:t>
      </w:r>
    </w:p>
    <w:p w:rsidR="009666A7" w:rsidRPr="0057071D" w:rsidRDefault="009666A7" w:rsidP="009666A7">
      <w:pPr>
        <w:jc w:val="both"/>
        <w:rPr>
          <w:sz w:val="22"/>
          <w:szCs w:val="22"/>
        </w:rPr>
      </w:pPr>
    </w:p>
    <w:p w:rsidR="009666A7" w:rsidRPr="0057071D" w:rsidRDefault="009666A7" w:rsidP="009666A7">
      <w:pPr>
        <w:numPr>
          <w:ilvl w:val="0"/>
          <w:numId w:val="14"/>
        </w:numPr>
        <w:ind w:left="425" w:hanging="425"/>
        <w:jc w:val="both"/>
        <w:rPr>
          <w:sz w:val="22"/>
          <w:szCs w:val="22"/>
        </w:rPr>
      </w:pPr>
      <w:r w:rsidRPr="0057071D">
        <w:rPr>
          <w:sz w:val="22"/>
          <w:szCs w:val="22"/>
        </w:rPr>
        <w:t>άμεσων δημοσιονομικών μεταρρυθμίσεων (συμπεριλαμβανομένου του ανεξάρτητου Δημοσιον</w:t>
      </w:r>
      <w:r w:rsidRPr="0057071D">
        <w:rPr>
          <w:sz w:val="22"/>
          <w:szCs w:val="22"/>
        </w:rPr>
        <w:t>ο</w:t>
      </w:r>
      <w:r w:rsidRPr="0057071D">
        <w:rPr>
          <w:sz w:val="22"/>
          <w:szCs w:val="22"/>
        </w:rPr>
        <w:t xml:space="preserve">μικού Συμβουλίου), </w:t>
      </w:r>
    </w:p>
    <w:p w:rsidR="009666A7" w:rsidRPr="0057071D" w:rsidRDefault="009666A7" w:rsidP="009666A7">
      <w:pPr>
        <w:numPr>
          <w:ilvl w:val="0"/>
          <w:numId w:val="14"/>
        </w:numPr>
        <w:ind w:left="425" w:hanging="425"/>
        <w:jc w:val="both"/>
        <w:rPr>
          <w:sz w:val="22"/>
          <w:szCs w:val="22"/>
        </w:rPr>
      </w:pPr>
      <w:r w:rsidRPr="0057071D">
        <w:rPr>
          <w:sz w:val="22"/>
          <w:szCs w:val="22"/>
        </w:rPr>
        <w:t xml:space="preserve">του προγράμματος ενίσχυσης της φορολογικής συμμόρφωσης και της βέλτιστης δημοσιονομικής διαχείρισης, </w:t>
      </w:r>
    </w:p>
    <w:p w:rsidR="009666A7" w:rsidRPr="0057071D" w:rsidRDefault="009666A7" w:rsidP="009666A7">
      <w:pPr>
        <w:numPr>
          <w:ilvl w:val="0"/>
          <w:numId w:val="14"/>
        </w:numPr>
        <w:ind w:left="425" w:hanging="425"/>
        <w:jc w:val="both"/>
        <w:rPr>
          <w:sz w:val="22"/>
          <w:szCs w:val="22"/>
        </w:rPr>
      </w:pPr>
      <w:r w:rsidRPr="0057071D">
        <w:rPr>
          <w:sz w:val="22"/>
          <w:szCs w:val="22"/>
        </w:rPr>
        <w:t xml:space="preserve">του προγράμματος αποκρατικοποιήσεων (συμπεριλαμβανομένης της </w:t>
      </w:r>
      <w:r w:rsidRPr="0057071D">
        <w:rPr>
          <w:iCs/>
          <w:sz w:val="22"/>
          <w:szCs w:val="22"/>
        </w:rPr>
        <w:t>Ελληνικής</w:t>
      </w:r>
      <w:r w:rsidRPr="0057071D">
        <w:rPr>
          <w:sz w:val="22"/>
          <w:szCs w:val="22"/>
        </w:rPr>
        <w:t xml:space="preserve"> Εταιρείας Συ</w:t>
      </w:r>
      <w:r w:rsidRPr="0057071D">
        <w:rPr>
          <w:sz w:val="22"/>
          <w:szCs w:val="22"/>
        </w:rPr>
        <w:t>μ</w:t>
      </w:r>
      <w:r w:rsidRPr="0057071D">
        <w:rPr>
          <w:sz w:val="22"/>
          <w:szCs w:val="22"/>
        </w:rPr>
        <w:t xml:space="preserve">μετοχών και Περιουσίας), </w:t>
      </w:r>
    </w:p>
    <w:p w:rsidR="009666A7" w:rsidRPr="0057071D" w:rsidRDefault="009666A7" w:rsidP="009666A7">
      <w:pPr>
        <w:numPr>
          <w:ilvl w:val="0"/>
          <w:numId w:val="14"/>
        </w:numPr>
        <w:ind w:left="425" w:hanging="425"/>
        <w:jc w:val="both"/>
        <w:rPr>
          <w:sz w:val="22"/>
          <w:szCs w:val="22"/>
        </w:rPr>
      </w:pPr>
      <w:r w:rsidRPr="0057071D">
        <w:rPr>
          <w:sz w:val="22"/>
          <w:szCs w:val="22"/>
        </w:rPr>
        <w:t>των διαρθρωτικών μεταρρυθμίσεων στις αγορές προϊόντων (Εργαλειοθήκη Ι, ΙΙ και ΙΙΙ του Ο</w:t>
      </w:r>
      <w:r w:rsidRPr="0057071D">
        <w:rPr>
          <w:sz w:val="22"/>
          <w:szCs w:val="22"/>
        </w:rPr>
        <w:t>Ο</w:t>
      </w:r>
      <w:r w:rsidRPr="0057071D">
        <w:rPr>
          <w:sz w:val="22"/>
          <w:szCs w:val="22"/>
        </w:rPr>
        <w:t xml:space="preserve">ΣΑ) και στην εύρυθμη λειτουργία του δημόσιου τομέα, </w:t>
      </w:r>
    </w:p>
    <w:p w:rsidR="009666A7" w:rsidRPr="0057071D" w:rsidRDefault="009666A7" w:rsidP="009666A7">
      <w:pPr>
        <w:numPr>
          <w:ilvl w:val="0"/>
          <w:numId w:val="14"/>
        </w:numPr>
        <w:ind w:left="425" w:hanging="425"/>
        <w:jc w:val="both"/>
        <w:rPr>
          <w:sz w:val="22"/>
          <w:szCs w:val="22"/>
        </w:rPr>
      </w:pPr>
      <w:r w:rsidRPr="0057071D">
        <w:rPr>
          <w:sz w:val="22"/>
          <w:szCs w:val="22"/>
        </w:rPr>
        <w:t xml:space="preserve">του εκσυγχρονισμού του συστήματος δημόσιας υγείας και κοινωνικής πρόνοιας, </w:t>
      </w:r>
    </w:p>
    <w:p w:rsidR="009666A7" w:rsidRPr="0057071D" w:rsidRDefault="009666A7" w:rsidP="009666A7">
      <w:pPr>
        <w:numPr>
          <w:ilvl w:val="0"/>
          <w:numId w:val="14"/>
        </w:numPr>
        <w:ind w:left="425" w:hanging="425"/>
        <w:jc w:val="both"/>
        <w:rPr>
          <w:sz w:val="22"/>
          <w:szCs w:val="22"/>
        </w:rPr>
      </w:pPr>
      <w:r w:rsidRPr="0057071D">
        <w:rPr>
          <w:sz w:val="22"/>
          <w:szCs w:val="22"/>
        </w:rPr>
        <w:t xml:space="preserve">της διαχείρισης του ιδιωτικού χρέους και της εφαρμογής διαρθρωτικών αλλαγών με αναπτυξιακή προοπτική (όπως η απλοποίηση των αδειοδοτήσεων για επενδύσεις), </w:t>
      </w:r>
    </w:p>
    <w:p w:rsidR="009666A7" w:rsidRPr="00BE5EFD" w:rsidRDefault="009666A7" w:rsidP="009666A7">
      <w:pPr>
        <w:numPr>
          <w:ilvl w:val="0"/>
          <w:numId w:val="14"/>
        </w:numPr>
        <w:ind w:left="425" w:hanging="425"/>
        <w:jc w:val="both"/>
        <w:rPr>
          <w:sz w:val="22"/>
        </w:rPr>
      </w:pPr>
      <w:r w:rsidRPr="00BE5EFD">
        <w:rPr>
          <w:sz w:val="22"/>
        </w:rPr>
        <w:t>της διασφάλισης επαρκούς προστασίας των ευάλωτων κοινωνικών ομάδων (όπως μέσω του κο</w:t>
      </w:r>
      <w:r w:rsidRPr="00BE5EFD">
        <w:rPr>
          <w:sz w:val="22"/>
        </w:rPr>
        <w:t>ι</w:t>
      </w:r>
      <w:r w:rsidRPr="00BE5EFD">
        <w:rPr>
          <w:sz w:val="22"/>
        </w:rPr>
        <w:t>νωνικού εισοδήματος αλληλεγγύης και των ενεργών εργασιακών πολιτικών</w:t>
      </w:r>
      <w:r w:rsidRPr="00BE5EFD">
        <w:rPr>
          <w:sz w:val="22"/>
          <w:vertAlign w:val="superscript"/>
        </w:rPr>
        <w:footnoteReference w:id="10"/>
      </w:r>
      <w:r w:rsidRPr="00BE5EFD">
        <w:rPr>
          <w:sz w:val="22"/>
        </w:rPr>
        <w:t xml:space="preserve">). </w:t>
      </w:r>
    </w:p>
    <w:p w:rsidR="009666A7" w:rsidRPr="006E219D" w:rsidRDefault="009666A7" w:rsidP="009666A7">
      <w:pPr>
        <w:jc w:val="both"/>
      </w:pPr>
    </w:p>
    <w:p w:rsidR="009666A7" w:rsidRPr="0057071D" w:rsidRDefault="009666A7" w:rsidP="009666A7">
      <w:pPr>
        <w:jc w:val="both"/>
        <w:rPr>
          <w:sz w:val="22"/>
          <w:szCs w:val="22"/>
        </w:rPr>
      </w:pPr>
      <w:r w:rsidRPr="0057071D">
        <w:rPr>
          <w:sz w:val="22"/>
          <w:szCs w:val="22"/>
        </w:rPr>
        <w:t>Δεδομένου ότι ο κύριος όγκος των δημ</w:t>
      </w:r>
      <w:r w:rsidR="00945EC9">
        <w:rPr>
          <w:sz w:val="22"/>
          <w:szCs w:val="22"/>
        </w:rPr>
        <w:t xml:space="preserve">όσιων </w:t>
      </w:r>
      <w:r w:rsidRPr="0057071D">
        <w:rPr>
          <w:sz w:val="22"/>
          <w:szCs w:val="22"/>
        </w:rPr>
        <w:t>δαπανών κατευθύνεται κυρίως σε μισθούς, συντάξεις και δράσεις κοινωνικής προστασίας (μεταβιβάσεις σε οργανισμούς κοινωνικής ασφάλισης και φορείς του Δημοσίου), η δημοσιονομική σταθεροποίηση επιδιώκεται σε μεγάλο βαθμό μέσω της φορολογ</w:t>
      </w:r>
      <w:r w:rsidRPr="0057071D">
        <w:rPr>
          <w:sz w:val="22"/>
          <w:szCs w:val="22"/>
        </w:rPr>
        <w:t>ι</w:t>
      </w:r>
      <w:r w:rsidRPr="0057071D">
        <w:rPr>
          <w:sz w:val="22"/>
          <w:szCs w:val="22"/>
        </w:rPr>
        <w:t>κής πολιτικής. Πέραν των μέτρων που νομοθετήθηκαν τον Αύγουστο του 2015, η ΣΧΔ της πρώτης αξιολόγησης του προγράμματος προβλέπει για την περίοδο 2016-2018 παρεμβάσεις για την επίτευξη εξοικονόμησης πόρων ύψους 3% του ΑΕΠ σωρευτικά (από τη μεταρρύθμιση του συνταξιοδοτικού συστήματος, από τη μεταρρύθμιση της φορολογίας εισοδήματος φυσικών προσώπων, από τις αλλαγές στους συντελεστές ΦΠΑ και από την αναμόρφωση των μισθολογίων στο δημόσιο τομέα και τους ε</w:t>
      </w:r>
      <w:r w:rsidRPr="0057071D">
        <w:rPr>
          <w:sz w:val="22"/>
          <w:szCs w:val="22"/>
        </w:rPr>
        <w:t>ι</w:t>
      </w:r>
      <w:r w:rsidRPr="0057071D">
        <w:rPr>
          <w:sz w:val="22"/>
          <w:szCs w:val="22"/>
        </w:rPr>
        <w:t>δικούς φόρους κατανάλωσης).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νέα μεταρρύθμιση της φορολογίας εισοδήματος φυσικών προσώπων και ο εκσυγχρονισμός του φ</w:t>
      </w:r>
      <w:r w:rsidRPr="0057071D">
        <w:rPr>
          <w:sz w:val="22"/>
          <w:szCs w:val="22"/>
        </w:rPr>
        <w:t>ο</w:t>
      </w:r>
      <w:r w:rsidRPr="0057071D">
        <w:rPr>
          <w:sz w:val="22"/>
          <w:szCs w:val="22"/>
        </w:rPr>
        <w:t>ρολογικού συστήματος στοχεύουν στην αύξηση της εισπραξιμότητας των φόρων και γενικότερα της αποτελεσματικότητάς του, με ειδική μέριμνα για την από ουδέτερη έως και ευνοϊκή επίδρασή τους στα χαμηλού εισοδήματος νοικοκυριά. Επιπλέον, διατηρούνται οι χαμηλοί συντελεστές του ΦΠΑ στα βασικά τρόφιμα, στην ύδρευση και στον ηλεκτρισμό που τυπικά ευνοούν τα χαμηλού εισοδήματος ν</w:t>
      </w:r>
      <w:r w:rsidRPr="0057071D">
        <w:rPr>
          <w:sz w:val="22"/>
          <w:szCs w:val="22"/>
        </w:rPr>
        <w:t>ο</w:t>
      </w:r>
      <w:r w:rsidRPr="0057071D">
        <w:rPr>
          <w:sz w:val="22"/>
          <w:szCs w:val="22"/>
        </w:rPr>
        <w:t>ικοκυριά. Σημειώνεται ότι παρά τις αρνητικές αναδιανεμητικές επιπτώσεις του ΦΠΑ, η φορολόγηση της κατανάλωσης κρίνεται λιγότερο επιζήμια για την απασχόληση από άλλες κατηγορίες φόρων.</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Στις διαρθρωτικές μεταρρυθμίσεις του νέου προγράμματος συγκαταλέγεται η αναμόρφωση του συ</w:t>
      </w:r>
      <w:r w:rsidRPr="0057071D">
        <w:rPr>
          <w:sz w:val="22"/>
          <w:szCs w:val="22"/>
        </w:rPr>
        <w:t>ν</w:t>
      </w:r>
      <w:r w:rsidRPr="0057071D">
        <w:rPr>
          <w:sz w:val="22"/>
          <w:szCs w:val="22"/>
        </w:rPr>
        <w:t>ταξιοδοτικού συστήματος σε ένα μακροπρόθεσμα βιώσιμο σχήμα, με τον περιορισμό των δικαιωμ</w:t>
      </w:r>
      <w:r w:rsidRPr="0057071D">
        <w:rPr>
          <w:sz w:val="22"/>
          <w:szCs w:val="22"/>
        </w:rPr>
        <w:t>ά</w:t>
      </w:r>
      <w:r w:rsidRPr="0057071D">
        <w:rPr>
          <w:sz w:val="22"/>
          <w:szCs w:val="22"/>
        </w:rPr>
        <w:t xml:space="preserve">των πρόωρης συνταξιοδότησης να επιτυγχάνει εξοικονόμηση δαπανών της τάξης του 0,5% του ΑΕΠ ήδη την περίοδο μεταξύ της έναρξης του προγράμματος και της πρώτης αξιολόγησης. Άλλες δομικές αλλαγές αφορούν το χωροταξικό σχεδιασμό, τη νομοθετική ρύθμιση χρήσεων γης, την καταπολέμηση </w:t>
      </w:r>
      <w:r w:rsidRPr="0057071D">
        <w:rPr>
          <w:sz w:val="22"/>
          <w:szCs w:val="22"/>
        </w:rPr>
        <w:lastRenderedPageBreak/>
        <w:t>της διαφθοράς, την αποδέσμευση των αγορών ενέργειας και τη βελτίωση της αποτελεσματικότητας του δικαστικού συστήματος.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Προς το σκοπό της μακροπρόθεσμης χρηματοδότησης της ανάπτυξης από το εγχώριο τραπεζικό σύ</w:t>
      </w:r>
      <w:r w:rsidRPr="0057071D">
        <w:rPr>
          <w:sz w:val="22"/>
          <w:szCs w:val="22"/>
        </w:rPr>
        <w:t>σ</w:t>
      </w:r>
      <w:r w:rsidRPr="0057071D">
        <w:rPr>
          <w:sz w:val="22"/>
          <w:szCs w:val="22"/>
        </w:rPr>
        <w:t>τημα, εξέλιξη κλειδί αποτελεί η χάραξη στρατηγικής για την αντιμετώπιση του υψηλού αποθέματος μη εξυπηρετούμενων δανείων,</w:t>
      </w:r>
      <w:r w:rsidRPr="0057071D">
        <w:rPr>
          <w:sz w:val="22"/>
          <w:szCs w:val="22"/>
          <w:vertAlign w:val="superscript"/>
        </w:rPr>
        <w:footnoteReference w:id="11"/>
      </w:r>
      <w:r w:rsidRPr="0057071D">
        <w:rPr>
          <w:sz w:val="22"/>
          <w:szCs w:val="22"/>
        </w:rPr>
        <w:t xml:space="preserve"> η οποία ενδυναμώνει τα οφέλη της πρόσφατης ανακεφαλαιοποίησης των Τραπεζών και των αποφάσεων της ΕΚΤ στο πλαίσιο του Ευρωσυστήματος. Ενδεικτικά, στον Κώδικα Δεοντολογίας της Τράπεζας της Ελλάδος, όπως αυτός αναθεωρήθηκε τον Αύγουστο του 2016, αποσαφηνίζεται μια σειρά διαδικασιών επικοινωνίας με τους δανειολήπτες και λαμβάνεται ειδ</w:t>
      </w:r>
      <w:r w:rsidRPr="0057071D">
        <w:rPr>
          <w:sz w:val="22"/>
          <w:szCs w:val="22"/>
        </w:rPr>
        <w:t>ι</w:t>
      </w:r>
      <w:r w:rsidRPr="0057071D">
        <w:rPr>
          <w:sz w:val="22"/>
          <w:szCs w:val="22"/>
        </w:rPr>
        <w:t>κή μέριμνα για τις πολύ μικρές επιχειρήσεις, για κοινωνικά ευπαθείς ομάδες και για περιπτώσεις δ</w:t>
      </w:r>
      <w:r w:rsidRPr="0057071D">
        <w:rPr>
          <w:sz w:val="22"/>
          <w:szCs w:val="22"/>
        </w:rPr>
        <w:t>α</w:t>
      </w:r>
      <w:r w:rsidRPr="0057071D">
        <w:rPr>
          <w:sz w:val="22"/>
          <w:szCs w:val="22"/>
        </w:rPr>
        <w:t>νείων με πολλαπλούς πιστωτές.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Βραχυπρόθεσμα, ενόσω η απόδοση των διαρθρωτικών μέτρων δεν έχει γίνει ακόμα ορατή, η στρατ</w:t>
      </w:r>
      <w:r w:rsidRPr="0057071D">
        <w:rPr>
          <w:sz w:val="22"/>
          <w:szCs w:val="22"/>
        </w:rPr>
        <w:t>η</w:t>
      </w:r>
      <w:r w:rsidRPr="0057071D">
        <w:rPr>
          <w:sz w:val="22"/>
          <w:szCs w:val="22"/>
        </w:rPr>
        <w:t>γική ενίσχυσης του δικτύου κοινωνικής προστασίας περιλαμβάνει τη λήψη μέτρων κοινωνικής πολ</w:t>
      </w:r>
      <w:r w:rsidRPr="0057071D">
        <w:rPr>
          <w:sz w:val="22"/>
          <w:szCs w:val="22"/>
        </w:rPr>
        <w:t>ι</w:t>
      </w:r>
      <w:r w:rsidRPr="0057071D">
        <w:rPr>
          <w:sz w:val="22"/>
          <w:szCs w:val="22"/>
        </w:rPr>
        <w:t>τικής, τα οποία αντισταθμίζουν κατά το δυνατόν τις επιπτώσεις των δημοσιονομικών μέτρων προσα</w:t>
      </w:r>
      <w:r w:rsidRPr="0057071D">
        <w:rPr>
          <w:sz w:val="22"/>
          <w:szCs w:val="22"/>
        </w:rPr>
        <w:t>ρ</w:t>
      </w:r>
      <w:r w:rsidRPr="0057071D">
        <w:rPr>
          <w:sz w:val="22"/>
          <w:szCs w:val="22"/>
        </w:rPr>
        <w:t>μογής στα ασθενέστερα στρώματα και τα νοικοκυριά στην χαμηλότερη βαθμίδα της εισοδηματικής κλίμακας. Μεταξύ αυτών που έχουν ανακοινωθεί είναι η δημιουργία μονάδων πρωτοβάθμιας φροντ</w:t>
      </w:r>
      <w:r w:rsidRPr="0057071D">
        <w:rPr>
          <w:sz w:val="22"/>
          <w:szCs w:val="22"/>
        </w:rPr>
        <w:t>ί</w:t>
      </w:r>
      <w:r w:rsidRPr="0057071D">
        <w:rPr>
          <w:sz w:val="22"/>
          <w:szCs w:val="22"/>
        </w:rPr>
        <w:t>δας υγείας σε δήμους από το 2017, η προστασία των κύριων συντάξεων και τα αντισταθμιστικά μέτρα για τη στήριξη όσων επηρεάζονται από τη σταδιακή κατάργηση του Επιδόματος Κοινωνικής Αλλ</w:t>
      </w:r>
      <w:r w:rsidRPr="0057071D">
        <w:rPr>
          <w:sz w:val="22"/>
          <w:szCs w:val="22"/>
        </w:rPr>
        <w:t>η</w:t>
      </w:r>
      <w:r w:rsidRPr="0057071D">
        <w:rPr>
          <w:sz w:val="22"/>
          <w:szCs w:val="22"/>
        </w:rPr>
        <w:t xml:space="preserve">λεγγύης Συνταξιούχων (ΕΚΑΣ) (μέσω της πλήρους απαλλαγής από τη φαρμακευτική δαπάνη, της </w:t>
      </w:r>
      <w:r w:rsidRPr="0057071D">
        <w:rPr>
          <w:sz w:val="22"/>
          <w:szCs w:val="22"/>
        </w:rPr>
        <w:t>α</w:t>
      </w:r>
      <w:r w:rsidRPr="0057071D">
        <w:rPr>
          <w:sz w:val="22"/>
          <w:szCs w:val="22"/>
        </w:rPr>
        <w:t>παλλαγής από την παρακράτηση του 6% για την εισφορά υγείας, της ένταξης στο πρόγραμμα προ</w:t>
      </w:r>
      <w:r w:rsidRPr="0057071D">
        <w:rPr>
          <w:sz w:val="22"/>
          <w:szCs w:val="22"/>
        </w:rPr>
        <w:t>π</w:t>
      </w:r>
      <w:r w:rsidRPr="0057071D">
        <w:rPr>
          <w:sz w:val="22"/>
          <w:szCs w:val="22"/>
        </w:rPr>
        <w:t>ληρωμένης Κάρτας Αλληλεγγύης και της διατήρησης ισόποσης παροχής στους χρόνια πάσχοντες με ποσοστό αναπηρίας άνω του 80%). Επιπλέον, ιδιαίτερα σημαντική παρέμβαση αποτελεί το Κοινωνικό Εισόδημα Αλληλεγγύης, το οποίο έχει αρχίσει να καταβάλλεται σε πολίτες που ζουν σε συνθήκες α</w:t>
      </w:r>
      <w:r w:rsidRPr="0057071D">
        <w:rPr>
          <w:sz w:val="22"/>
          <w:szCs w:val="22"/>
        </w:rPr>
        <w:t>κ</w:t>
      </w:r>
      <w:r w:rsidRPr="0057071D">
        <w:rPr>
          <w:sz w:val="22"/>
          <w:szCs w:val="22"/>
        </w:rPr>
        <w:t>ραίας φτώχειας σε 30 Δήμους και αναμένεται να επεκταθεί σε ολόκληρη τη χώρα στις αρχές του 2017.</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Κατά συνέπεια, η υιοθέτηση και η συνεπής υλοποίηση του νέου προγράμματος της ελληνικής οικον</w:t>
      </w:r>
      <w:r w:rsidRPr="0057071D">
        <w:rPr>
          <w:sz w:val="22"/>
          <w:szCs w:val="22"/>
        </w:rPr>
        <w:t>ο</w:t>
      </w:r>
      <w:r w:rsidRPr="0057071D">
        <w:rPr>
          <w:sz w:val="22"/>
          <w:szCs w:val="22"/>
        </w:rPr>
        <w:t>μίας κινείται προς την κατεύθυνση της δημοσιονομικής προσαρμογής, θεμελιώνοντας παράλληλα:</w:t>
      </w:r>
    </w:p>
    <w:p w:rsidR="009666A7" w:rsidRPr="0057071D" w:rsidRDefault="009666A7" w:rsidP="009666A7">
      <w:pPr>
        <w:jc w:val="both"/>
        <w:rPr>
          <w:sz w:val="22"/>
          <w:szCs w:val="22"/>
        </w:rPr>
      </w:pPr>
    </w:p>
    <w:p w:rsidR="009666A7" w:rsidRPr="0057071D" w:rsidRDefault="009666A7" w:rsidP="009666A7">
      <w:pPr>
        <w:numPr>
          <w:ilvl w:val="0"/>
          <w:numId w:val="14"/>
        </w:numPr>
        <w:ind w:left="425" w:hanging="425"/>
        <w:jc w:val="both"/>
        <w:rPr>
          <w:sz w:val="22"/>
          <w:szCs w:val="22"/>
        </w:rPr>
      </w:pPr>
      <w:r w:rsidRPr="0057071D">
        <w:rPr>
          <w:sz w:val="22"/>
          <w:szCs w:val="22"/>
        </w:rPr>
        <w:t>ρεαλιστικούς δημοσιονομικούς στόχους, οι οποίοι χαρακτηρίζονται από ευελιξία στην περίπτωση έκτακτων εξωγενών διαταραχών,</w:t>
      </w:r>
    </w:p>
    <w:p w:rsidR="009666A7" w:rsidRPr="0057071D" w:rsidRDefault="009666A7" w:rsidP="009666A7">
      <w:pPr>
        <w:numPr>
          <w:ilvl w:val="0"/>
          <w:numId w:val="14"/>
        </w:numPr>
        <w:ind w:left="425" w:hanging="425"/>
        <w:jc w:val="both"/>
        <w:rPr>
          <w:sz w:val="22"/>
          <w:szCs w:val="22"/>
        </w:rPr>
      </w:pPr>
      <w:r w:rsidRPr="0057071D">
        <w:rPr>
          <w:sz w:val="22"/>
          <w:szCs w:val="22"/>
        </w:rPr>
        <w:t xml:space="preserve">δικλείδες που διασφαλίζουν την ομαλή εξυπηρέτηση των χρηματοδοτικών αναγκών της χώρας μακροπρόθεσμα, και </w:t>
      </w:r>
    </w:p>
    <w:p w:rsidR="009666A7" w:rsidRPr="0057071D" w:rsidRDefault="009666A7" w:rsidP="009666A7">
      <w:pPr>
        <w:numPr>
          <w:ilvl w:val="0"/>
          <w:numId w:val="14"/>
        </w:numPr>
        <w:ind w:left="425" w:hanging="425"/>
        <w:jc w:val="both"/>
        <w:rPr>
          <w:sz w:val="22"/>
          <w:szCs w:val="22"/>
        </w:rPr>
      </w:pPr>
      <w:r w:rsidRPr="0057071D">
        <w:rPr>
          <w:sz w:val="22"/>
          <w:szCs w:val="22"/>
        </w:rPr>
        <w:t>στοχευμένα μέτρα ενίσχυσης της κοινωνικής συνοχής.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Τα σημεία αυτά βελτιώνουν σημαντικά την αξιοπιστία του προγράμματος, γεγονός που θα μπορούσε από μόνο του να εκκινήσει έναν κύκλο ενίσχυσης της σταθερότητας, του επενδυτικού ενδιαφέροντος και των εργασιακών προοπτικών, της ενεργού</w:t>
      </w:r>
      <w:r w:rsidR="00945EC9">
        <w:rPr>
          <w:sz w:val="22"/>
          <w:szCs w:val="22"/>
        </w:rPr>
        <w:t>ς</w:t>
      </w:r>
      <w:r w:rsidRPr="0057071D">
        <w:rPr>
          <w:sz w:val="22"/>
          <w:szCs w:val="22"/>
        </w:rPr>
        <w:t xml:space="preserve"> ζήτησης και της οικονομικής μεγέθυνσης.</w:t>
      </w:r>
    </w:p>
    <w:p w:rsidR="009666A7" w:rsidRPr="006E219D" w:rsidRDefault="009666A7" w:rsidP="009666A7">
      <w:pPr>
        <w:jc w:val="both"/>
      </w:pPr>
    </w:p>
    <w:p w:rsidR="009666A7" w:rsidRPr="006E219D" w:rsidRDefault="009666A7" w:rsidP="009666A7">
      <w:pPr>
        <w:ind w:left="567" w:hanging="567"/>
        <w:jc w:val="both"/>
        <w:rPr>
          <w:rFonts w:ascii="Arial Narrow" w:hAnsi="Arial Narrow"/>
          <w:b/>
          <w:color w:val="000080"/>
          <w:szCs w:val="22"/>
        </w:rPr>
      </w:pPr>
      <w:r w:rsidRPr="006E219D">
        <w:rPr>
          <w:rFonts w:ascii="Arial Narrow" w:hAnsi="Arial Narrow"/>
          <w:b/>
          <w:color w:val="000080"/>
          <w:szCs w:val="22"/>
        </w:rPr>
        <w:t>2.2</w:t>
      </w:r>
      <w:r w:rsidRPr="006E219D">
        <w:rPr>
          <w:rFonts w:ascii="Arial Narrow" w:hAnsi="Arial Narrow"/>
          <w:b/>
          <w:color w:val="000080"/>
          <w:szCs w:val="22"/>
        </w:rPr>
        <w:tab/>
        <w:t>Οι εξελίξεις το 2015</w:t>
      </w:r>
    </w:p>
    <w:p w:rsidR="009666A7" w:rsidRPr="006E219D" w:rsidRDefault="009666A7" w:rsidP="009666A7">
      <w:pPr>
        <w:jc w:val="both"/>
      </w:pPr>
    </w:p>
    <w:p w:rsidR="009666A7" w:rsidRPr="0057071D" w:rsidRDefault="009666A7" w:rsidP="009666A7">
      <w:pPr>
        <w:jc w:val="both"/>
        <w:rPr>
          <w:sz w:val="22"/>
          <w:szCs w:val="22"/>
        </w:rPr>
      </w:pPr>
      <w:r w:rsidRPr="0057071D">
        <w:rPr>
          <w:sz w:val="22"/>
          <w:szCs w:val="22"/>
        </w:rPr>
        <w:t>Το 2015 υπήρξε χρονιά επα</w:t>
      </w:r>
      <w:r w:rsidR="00945EC9">
        <w:rPr>
          <w:sz w:val="22"/>
          <w:szCs w:val="22"/>
        </w:rPr>
        <w:t>ναπροσδιορισμού των στόχων της ε</w:t>
      </w:r>
      <w:r w:rsidRPr="0057071D">
        <w:rPr>
          <w:sz w:val="22"/>
          <w:szCs w:val="22"/>
        </w:rPr>
        <w:t>λληνικής οικονομίας και των μέσων επίτευξής τους, με επανεξέταση του εφαρμοζόμενου μίγματος οικονομικής προσαρμογής.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διαδικασία αυτή έλαβε χώρα σε μία χρονική συγκυρία υψηλής μεταβλητότητας στο εγχώριο και το διεθνές περιβάλλον, κατά την οποία συνυπήρχαν η επιδείνωση της ρευστότητας στο ελληνικό τραπ</w:t>
      </w:r>
      <w:r w:rsidRPr="0057071D">
        <w:rPr>
          <w:sz w:val="22"/>
          <w:szCs w:val="22"/>
        </w:rPr>
        <w:t>ε</w:t>
      </w:r>
      <w:r w:rsidRPr="0057071D">
        <w:rPr>
          <w:sz w:val="22"/>
          <w:szCs w:val="22"/>
        </w:rPr>
        <w:t>ζικό σύστημα και οι ασθενείς ενδείξεις ανάκαμψης του 2014 με την αύξηση του κινδύνου στις δι</w:t>
      </w:r>
      <w:r w:rsidRPr="0057071D">
        <w:rPr>
          <w:sz w:val="22"/>
          <w:szCs w:val="22"/>
        </w:rPr>
        <w:t>ε</w:t>
      </w:r>
      <w:r w:rsidRPr="0057071D">
        <w:rPr>
          <w:sz w:val="22"/>
          <w:szCs w:val="22"/>
        </w:rPr>
        <w:t xml:space="preserve">θνείς χρηματαγορές, τη ραγδαία αύξηση των προσφυγικών ροών μέσω της Ελλάδας στην Ευρώπη, </w:t>
      </w:r>
      <w:r w:rsidRPr="0057071D">
        <w:rPr>
          <w:sz w:val="22"/>
          <w:szCs w:val="22"/>
        </w:rPr>
        <w:lastRenderedPageBreak/>
        <w:t>και τις ευρύτερες συνέπειες στις προοπτικές σταθερότητας από τις γεωπολιτικές εξελίξεις στη Μέση Ανατολή και την Ανατολική Ευρώπη.</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ρευστότητα στις ελληνικές τράπεζες περιορίστηκε σημαντικά το πρώτο εξάμηνο του 2015, καθώς ταχεία εκροή καταθέσεων προκλήθηκε από την αύξηση της οικονομικής αβεβαιότητας και την επ</w:t>
      </w:r>
      <w:r w:rsidRPr="0057071D">
        <w:rPr>
          <w:sz w:val="22"/>
          <w:szCs w:val="22"/>
        </w:rPr>
        <w:t>α</w:t>
      </w:r>
      <w:r w:rsidRPr="0057071D">
        <w:rPr>
          <w:sz w:val="22"/>
          <w:szCs w:val="22"/>
        </w:rPr>
        <w:t>ναφερόμενη συζήτηση επί μίας ενδεχόμενης εξόδου της Ελλάδας από την Ευρωζώνη. Η εφαρμογή των μέτρων ελέγχου στις τραπεζικές συναλλαγές, τον Ιούλιο του 2015, περιόρισε τις εκροές, διασφ</w:t>
      </w:r>
      <w:r w:rsidRPr="0057071D">
        <w:rPr>
          <w:sz w:val="22"/>
          <w:szCs w:val="22"/>
        </w:rPr>
        <w:t>α</w:t>
      </w:r>
      <w:r w:rsidRPr="0057071D">
        <w:rPr>
          <w:sz w:val="22"/>
          <w:szCs w:val="22"/>
        </w:rPr>
        <w:t>λίζοντας τη συνέχιση της λειτουργίας του τραπεζικού συστήματος και επιφέροντας περιορισμένη μ</w:t>
      </w:r>
      <w:r w:rsidRPr="0057071D">
        <w:rPr>
          <w:sz w:val="22"/>
          <w:szCs w:val="22"/>
        </w:rPr>
        <w:t>ό</w:t>
      </w:r>
      <w:r w:rsidRPr="0057071D">
        <w:rPr>
          <w:sz w:val="22"/>
          <w:szCs w:val="22"/>
        </w:rPr>
        <w:t>νο επίπτωση στο επίπεδο της κατανάλωσης σε σχέση με ό,τι είχε αρχικά προβλεφθεί.</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ανθεκτικότητα της ελληνικής οικονομίας, και ιδίως της ιδιωτικής κατανάλωσης και του εξωτερικού τομέα της, σε συνδυασμό με την επίτευξη της συμφωνίας με τους Θεσμούς για την εφαρμογή της ΣΧΔ, τον Αύγουστο του 2015, συνέβαλαν στην καταγραφή οριακών μόνο απωλειών πραγματικού προϊόντος στο σύνολο του 2015 σε σχέση με το 2014 (-0,2%). Την εφαρμογή της ΣΧΔ ακολούθησε, από τον Σεπτέμβριο του 2015, η βαθμιαία μεταστροφή των δυσμενών προσδοκιών για την οικονομία, που είχαν καταγραφεί κυρίως στους δύο πρώτους μήνες εφαρμογής των περιορισμών στην κίνηση κεφαλαίων</w:t>
      </w:r>
      <w:r w:rsidRPr="0057071D">
        <w:rPr>
          <w:sz w:val="22"/>
          <w:szCs w:val="22"/>
          <w:vertAlign w:val="superscript"/>
        </w:rPr>
        <w:footnoteReference w:id="12"/>
      </w:r>
      <w:r w:rsidRPr="0057071D">
        <w:rPr>
          <w:sz w:val="22"/>
          <w:szCs w:val="22"/>
        </w:rPr>
        <w:t>.</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Σύμφωνα με τα ετήσια εθνικολογιστικά στοιχεία του 2015 για τις συνιστώσες του πραγματικού ΑΕΠ, όπως</w:t>
      </w:r>
      <w:r w:rsidRPr="0057071D">
        <w:rPr>
          <w:color w:val="FF0000"/>
          <w:sz w:val="22"/>
          <w:szCs w:val="22"/>
        </w:rPr>
        <w:t xml:space="preserve"> </w:t>
      </w:r>
      <w:r w:rsidRPr="0057071D">
        <w:rPr>
          <w:sz w:val="22"/>
          <w:szCs w:val="22"/>
        </w:rPr>
        <w:t>αναθεωρήθηκαν προς τα κάτω από την</w:t>
      </w:r>
      <w:r w:rsidR="00E63E6B">
        <w:rPr>
          <w:sz w:val="22"/>
          <w:szCs w:val="22"/>
        </w:rPr>
        <w:t xml:space="preserve"> Ελληνική Στατιστική Αρχή </w:t>
      </w:r>
      <w:r w:rsidRPr="0057071D">
        <w:rPr>
          <w:sz w:val="22"/>
          <w:szCs w:val="22"/>
        </w:rPr>
        <w:t xml:space="preserve">τον Οκτώβριο του 2016, </w:t>
      </w:r>
      <w:r w:rsidRPr="0057071D">
        <w:rPr>
          <w:sz w:val="22"/>
          <w:szCs w:val="22"/>
        </w:rPr>
        <w:t>ο</w:t>
      </w:r>
      <w:r w:rsidRPr="0057071D">
        <w:rPr>
          <w:sz w:val="22"/>
          <w:szCs w:val="22"/>
        </w:rPr>
        <w:t>ριακά αρνητική ήταν στο σύνολο του έτους η πορεία της ιδιωτικής κατανάλωσης (-0,2%), των επε</w:t>
      </w:r>
      <w:r w:rsidRPr="0057071D">
        <w:rPr>
          <w:sz w:val="22"/>
          <w:szCs w:val="22"/>
        </w:rPr>
        <w:t>ν</w:t>
      </w:r>
      <w:r w:rsidRPr="0057071D">
        <w:rPr>
          <w:sz w:val="22"/>
          <w:szCs w:val="22"/>
        </w:rPr>
        <w:t>δύσεων (-0,2%),</w:t>
      </w:r>
      <w:r w:rsidRPr="0057071D">
        <w:rPr>
          <w:sz w:val="22"/>
          <w:szCs w:val="22"/>
          <w:vertAlign w:val="superscript"/>
        </w:rPr>
        <w:footnoteReference w:id="13"/>
      </w:r>
      <w:r w:rsidRPr="0057071D">
        <w:rPr>
          <w:sz w:val="22"/>
          <w:szCs w:val="22"/>
        </w:rPr>
        <w:t xml:space="preserve"> και των εξαγωγών υπηρεσιών (-2,4%). Από την άλλη πλευρά, οι εξαγωγές αγαθών εμφάνισαν δυναμική ανάπτυξης, καθώς αυξήθηκαν κατά 8,6% σε ετήσια βάση, συντελώντας έτσι στην αύξηση των συνολικών εξαγωγών αγαθών και υπηρεσιών κατά 3,4%</w:t>
      </w:r>
      <w:r w:rsidRPr="0057071D">
        <w:rPr>
          <w:rStyle w:val="a9"/>
          <w:sz w:val="22"/>
          <w:szCs w:val="22"/>
        </w:rPr>
        <w:footnoteReference w:id="14"/>
      </w:r>
      <w:r w:rsidRPr="0057071D">
        <w:rPr>
          <w:sz w:val="22"/>
          <w:szCs w:val="22"/>
        </w:rPr>
        <w:t xml:space="preserve"> το 2015.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Το επίπεδο της δημόσιας κατανάλωσης εντός του 2015 συνδέθηκε με την κλιμάκωση της προσφυγ</w:t>
      </w:r>
      <w:r w:rsidRPr="0057071D">
        <w:rPr>
          <w:sz w:val="22"/>
          <w:szCs w:val="22"/>
        </w:rPr>
        <w:t>ι</w:t>
      </w:r>
      <w:r w:rsidRPr="0057071D">
        <w:rPr>
          <w:sz w:val="22"/>
          <w:szCs w:val="22"/>
        </w:rPr>
        <w:t>κής κρίσης, η οποία επηρέασε δυσανάλογα την Ελλάδα ως χώρα διέλευσης σε σχέση με τις άλλες ε</w:t>
      </w:r>
      <w:r w:rsidRPr="0057071D">
        <w:rPr>
          <w:sz w:val="22"/>
          <w:szCs w:val="22"/>
        </w:rPr>
        <w:t>υ</w:t>
      </w:r>
      <w:r w:rsidRPr="0057071D">
        <w:rPr>
          <w:sz w:val="22"/>
          <w:szCs w:val="22"/>
        </w:rPr>
        <w:t>ρωπαϊκές χώρες. Συγκεκριμένα, ο αριθμός των προσφύγων που πέρασαν στην Ελλάδα εντός του έτους έφτασε τις 856.723 (σύμφωνα με τα στοιχεία της Ύπατης Αρμοστείας των Ηνωμένων Εθνών). Αυτή η μεγάλη αύξηση των εισροών σε σχέση με το 2014 (43.500 αφίξεις), επέφερε δημοσιονομικό κόστος σε όρους δαπανών υποδοχής και προσωρινής εγκατάστασης των προσφύγων, που συντέλεσαν στη στασιμότητα της πραγματικής δημόσιας κατανάλωσης έναντι του 2014.</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συρρίκνωση των εισαγωγών υπηρεσιών το 2015 έφτασε το 14,9% σε ετήσια βάση, αλλά αντιστα</w:t>
      </w:r>
      <w:r w:rsidRPr="0057071D">
        <w:rPr>
          <w:sz w:val="22"/>
          <w:szCs w:val="22"/>
        </w:rPr>
        <w:t>θ</w:t>
      </w:r>
      <w:r w:rsidRPr="0057071D">
        <w:rPr>
          <w:sz w:val="22"/>
          <w:szCs w:val="22"/>
        </w:rPr>
        <w:t>μίστηκε από την συνεχιζόμενη αύξηση των εισαγωγών αγαθών έναντι του 2014 (κατά 3,2% βάσει των αναθεωρημένων στοιχείων). Ως εκ τούτου, οι συνολικές εισαγωγές αγαθών και υπηρεσιών συγκρατ</w:t>
      </w:r>
      <w:r w:rsidRPr="0057071D">
        <w:rPr>
          <w:sz w:val="22"/>
          <w:szCs w:val="22"/>
        </w:rPr>
        <w:t>ή</w:t>
      </w:r>
      <w:r w:rsidRPr="0057071D">
        <w:rPr>
          <w:sz w:val="22"/>
          <w:szCs w:val="22"/>
        </w:rPr>
        <w:t>θηκαν σε οριακά θετική πορεία, αυξανόμενες κατά 0,3%</w:t>
      </w:r>
      <w:r w:rsidRPr="0057071D">
        <w:rPr>
          <w:rStyle w:val="a9"/>
          <w:sz w:val="22"/>
          <w:szCs w:val="22"/>
        </w:rPr>
        <w:footnoteReference w:id="15"/>
      </w:r>
      <w:r w:rsidRPr="0057071D">
        <w:rPr>
          <w:sz w:val="22"/>
          <w:szCs w:val="22"/>
        </w:rPr>
        <w:t xml:space="preserve"> έναντι του 2014. Η εξέλιξη αυτή καταδει</w:t>
      </w:r>
      <w:r w:rsidRPr="0057071D">
        <w:rPr>
          <w:sz w:val="22"/>
          <w:szCs w:val="22"/>
        </w:rPr>
        <w:t>κ</w:t>
      </w:r>
      <w:r w:rsidRPr="0057071D">
        <w:rPr>
          <w:sz w:val="22"/>
          <w:szCs w:val="22"/>
        </w:rPr>
        <w:t>νύει, αφενός, την ανθεκτική επίδοση του εξωτερικού τομέα ως προς το επίπεδο δραστηριότητας παρά τους ελέγχους επί των τραπεζικών συναλλαγών και, αφετέρου, τη συγκριτικά μεγαλύτερη επίπτωση των ελέγχων στις εισαγωγές σε σχέση με τις εξαγωγές, η οποία οδήγησε στη θετική συνεισφορά του εξωτερικού ισοζυγίου αγαθών και υπηρεσιών στην αύξηση του ΑΕΠ το 2015, κατά 0,9 εκατοστιαίες μονάδες.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Οι αποπληθωριστικές πιέσεις συνεχίστηκαν εντός του 2015, βαίνοντας όμως προς εξασθένιση, με τον αναθεωρημένο ρυθμό πληθωρισμού του ΑΕΠ στο -1,0% και τον Εναρμονισμένο Δείκτη Τιμών Κατ</w:t>
      </w:r>
      <w:r w:rsidRPr="0057071D">
        <w:rPr>
          <w:sz w:val="22"/>
          <w:szCs w:val="22"/>
        </w:rPr>
        <w:t>α</w:t>
      </w:r>
      <w:r w:rsidRPr="0057071D">
        <w:rPr>
          <w:sz w:val="22"/>
          <w:szCs w:val="22"/>
        </w:rPr>
        <w:t>ναλωτή στο -1,1%, έναντι -1,8% και -1,4%, αντίστοιχα, το 2014.</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 xml:space="preserve">Ο δημοσιονομικός στόχος του 2015 για το πρωτογενές πλεόνασμα, όπως συμφωνήθηκε στη ΣΧΔ </w:t>
      </w:r>
      <w:r w:rsidR="007E71A6">
        <w:rPr>
          <w:sz w:val="22"/>
          <w:szCs w:val="22"/>
        </w:rPr>
        <w:t xml:space="preserve">     </w:t>
      </w:r>
      <w:r w:rsidRPr="0057071D">
        <w:rPr>
          <w:sz w:val="22"/>
          <w:szCs w:val="22"/>
        </w:rPr>
        <w:t xml:space="preserve">(-0,25% του ΑΕΠ), υπερκαλύφθηκε από το δημοσιονομικό αποτέλεσμα του πρωτογενούς ισοζυγίου Γενικής Κυβέρνησης, </w:t>
      </w:r>
      <w:r w:rsidR="00E63E6B">
        <w:rPr>
          <w:sz w:val="22"/>
          <w:szCs w:val="22"/>
        </w:rPr>
        <w:t>το οποίο ανήλθε σε πλεόνασμα 0,2</w:t>
      </w:r>
      <w:r w:rsidRPr="0057071D">
        <w:rPr>
          <w:sz w:val="22"/>
          <w:szCs w:val="22"/>
        </w:rPr>
        <w:t>5% του ΑΕΠ</w:t>
      </w:r>
      <w:r w:rsidRPr="0057071D">
        <w:rPr>
          <w:rStyle w:val="a9"/>
          <w:sz w:val="22"/>
          <w:szCs w:val="22"/>
        </w:rPr>
        <w:footnoteReference w:id="16"/>
      </w:r>
      <w:r w:rsidRPr="0057071D">
        <w:rPr>
          <w:sz w:val="22"/>
          <w:szCs w:val="22"/>
        </w:rPr>
        <w:t xml:space="preserve"> έναντι 0,3% του ΑΕΠ το 2014 (εξαιρουμένης της στήριξης των χρηματοπιστωτικών ιδρυμάτων</w:t>
      </w:r>
      <w:r w:rsidRPr="0057071D">
        <w:rPr>
          <w:sz w:val="22"/>
          <w:szCs w:val="22"/>
          <w:vertAlign w:val="superscript"/>
          <w:lang w:val="en-US"/>
        </w:rPr>
        <w:footnoteReference w:id="17"/>
      </w:r>
      <w:r w:rsidRPr="0057071D">
        <w:rPr>
          <w:sz w:val="22"/>
          <w:szCs w:val="22"/>
        </w:rPr>
        <w:t xml:space="preserve">). Αντίστοιχα, το </w:t>
      </w:r>
      <w:r w:rsidR="00E63E6B">
        <w:rPr>
          <w:sz w:val="22"/>
          <w:szCs w:val="22"/>
        </w:rPr>
        <w:t xml:space="preserve">ισοζύγιο </w:t>
      </w:r>
      <w:r w:rsidRPr="0057071D">
        <w:rPr>
          <w:sz w:val="22"/>
          <w:szCs w:val="22"/>
        </w:rPr>
        <w:t xml:space="preserve">της Γενικής Κυβέρνησης </w:t>
      </w:r>
      <w:r w:rsidR="00E63E6B">
        <w:rPr>
          <w:sz w:val="22"/>
          <w:szCs w:val="22"/>
        </w:rPr>
        <w:t>διαμορφώθηκε σε έλλειμμα -</w:t>
      </w:r>
      <w:r w:rsidRPr="0057071D">
        <w:rPr>
          <w:sz w:val="22"/>
          <w:szCs w:val="22"/>
        </w:rPr>
        <w:t>3,</w:t>
      </w:r>
      <w:r w:rsidR="00E63E6B">
        <w:rPr>
          <w:sz w:val="22"/>
          <w:szCs w:val="22"/>
        </w:rPr>
        <w:t>3</w:t>
      </w:r>
      <w:r w:rsidR="000467F7">
        <w:rPr>
          <w:sz w:val="22"/>
          <w:szCs w:val="22"/>
        </w:rPr>
        <w:t>0</w:t>
      </w:r>
      <w:r w:rsidRPr="0057071D">
        <w:rPr>
          <w:sz w:val="22"/>
          <w:szCs w:val="22"/>
        </w:rPr>
        <w:t xml:space="preserve">% του ΑΕΠ, έναντι </w:t>
      </w:r>
      <w:r w:rsidR="00E63E6B">
        <w:rPr>
          <w:sz w:val="22"/>
          <w:szCs w:val="22"/>
        </w:rPr>
        <w:t>-</w:t>
      </w:r>
      <w:r w:rsidRPr="0057071D">
        <w:rPr>
          <w:sz w:val="22"/>
          <w:szCs w:val="22"/>
        </w:rPr>
        <w:t>3,</w:t>
      </w:r>
      <w:r w:rsidR="00E63E6B">
        <w:rPr>
          <w:sz w:val="22"/>
          <w:szCs w:val="22"/>
        </w:rPr>
        <w:t>5</w:t>
      </w:r>
      <w:r w:rsidRPr="0057071D">
        <w:rPr>
          <w:sz w:val="22"/>
          <w:szCs w:val="22"/>
        </w:rPr>
        <w:t>% το 2014, και το χρ</w:t>
      </w:r>
      <w:r w:rsidRPr="0057071D">
        <w:rPr>
          <w:sz w:val="22"/>
          <w:szCs w:val="22"/>
        </w:rPr>
        <w:t>έ</w:t>
      </w:r>
      <w:r w:rsidRPr="0057071D">
        <w:rPr>
          <w:sz w:val="22"/>
          <w:szCs w:val="22"/>
        </w:rPr>
        <w:t>ος της Γενικής Κυβέρνησης μειώθηκε κατά 8,06 δισ. ευρώ το 2015, στο 177,4% του ΑΕΠ έναντι 179,7% του ΑΕΠ το 2014. Το δε ισοζύγιο τρεχουσών συναλλαγών κατέγραψε πλεόνασμα 205,8 εκατ</w:t>
      </w:r>
      <w:r w:rsidR="007E71A6">
        <w:rPr>
          <w:sz w:val="22"/>
          <w:szCs w:val="22"/>
        </w:rPr>
        <w:t>.</w:t>
      </w:r>
      <w:r w:rsidRPr="0057071D">
        <w:rPr>
          <w:sz w:val="22"/>
          <w:szCs w:val="22"/>
        </w:rPr>
        <w:t xml:space="preserve"> ευρώ ή 0,12% του ΑΕΠ), έναντι ελλείμματος 1,6% του ΑΕΠ το 2014. Επομένως, οι βασικοί δείκτες μακροοικονομικής ανισορροπίας της ελληνικής οικονομίας (τα «δίδυμα ελλείμματα») σαφώς βελτι</w:t>
      </w:r>
      <w:r w:rsidRPr="0057071D">
        <w:rPr>
          <w:sz w:val="22"/>
          <w:szCs w:val="22"/>
        </w:rPr>
        <w:t>ώ</w:t>
      </w:r>
      <w:r w:rsidRPr="0057071D">
        <w:rPr>
          <w:sz w:val="22"/>
          <w:szCs w:val="22"/>
        </w:rPr>
        <w:t>θηκαν.</w:t>
      </w:r>
    </w:p>
    <w:p w:rsidR="009666A7" w:rsidRDefault="009666A7" w:rsidP="009666A7">
      <w:pPr>
        <w:jc w:val="both"/>
        <w:rPr>
          <w:sz w:val="22"/>
          <w:szCs w:val="22"/>
        </w:rPr>
      </w:pPr>
    </w:p>
    <w:p w:rsidR="009666A7" w:rsidRPr="006E219D" w:rsidRDefault="009666A7" w:rsidP="009666A7">
      <w:pPr>
        <w:ind w:left="567" w:hanging="567"/>
        <w:jc w:val="both"/>
        <w:rPr>
          <w:rFonts w:ascii="Arial Narrow" w:hAnsi="Arial Narrow"/>
          <w:b/>
          <w:color w:val="000080"/>
          <w:szCs w:val="22"/>
        </w:rPr>
      </w:pPr>
      <w:r w:rsidRPr="006E219D">
        <w:rPr>
          <w:rFonts w:ascii="Arial Narrow" w:hAnsi="Arial Narrow"/>
          <w:b/>
          <w:color w:val="000080"/>
          <w:szCs w:val="22"/>
        </w:rPr>
        <w:t>2.3</w:t>
      </w:r>
      <w:r w:rsidRPr="006E219D">
        <w:rPr>
          <w:rFonts w:ascii="Arial Narrow" w:hAnsi="Arial Narrow"/>
          <w:b/>
          <w:color w:val="000080"/>
          <w:szCs w:val="22"/>
        </w:rPr>
        <w:tab/>
        <w:t>Οι εξελίξεις το 2016</w:t>
      </w:r>
    </w:p>
    <w:p w:rsidR="009666A7" w:rsidRPr="006E219D" w:rsidRDefault="009666A7" w:rsidP="009666A7">
      <w:pPr>
        <w:jc w:val="both"/>
      </w:pPr>
    </w:p>
    <w:p w:rsidR="009666A7" w:rsidRPr="0057071D" w:rsidRDefault="009666A7" w:rsidP="009666A7">
      <w:pPr>
        <w:jc w:val="both"/>
        <w:rPr>
          <w:sz w:val="22"/>
          <w:szCs w:val="22"/>
        </w:rPr>
      </w:pPr>
      <w:r w:rsidRPr="0057071D">
        <w:rPr>
          <w:sz w:val="22"/>
          <w:szCs w:val="22"/>
        </w:rPr>
        <w:t>Η ενίσχυση της οικονομικής εμπιστοσύνης από την υιοθέτηση του προγράμματος χρηματοδότησης μέσω του Ευρωπαϊκού Μηχανισμού Σταθερότητας (ΕΜΣ), αναμένεται να διευκολύνει την ανάκαμψη της ελληνικής οικονομίας, ιδίως μετά την εξάντληση της αρνητικής επίδρασης (</w:t>
      </w:r>
      <w:r w:rsidRPr="0057071D">
        <w:rPr>
          <w:sz w:val="22"/>
          <w:szCs w:val="22"/>
          <w:lang w:val="en-US"/>
        </w:rPr>
        <w:t>carry</w:t>
      </w:r>
      <w:r w:rsidRPr="0057071D">
        <w:rPr>
          <w:sz w:val="22"/>
          <w:szCs w:val="22"/>
        </w:rPr>
        <w:t xml:space="preserve"> </w:t>
      </w:r>
      <w:r w:rsidRPr="0057071D">
        <w:rPr>
          <w:sz w:val="22"/>
          <w:szCs w:val="22"/>
          <w:lang w:val="en-US"/>
        </w:rPr>
        <w:t>over</w:t>
      </w:r>
      <w:r w:rsidRPr="0057071D">
        <w:rPr>
          <w:sz w:val="22"/>
          <w:szCs w:val="22"/>
        </w:rPr>
        <w:t xml:space="preserve"> </w:t>
      </w:r>
      <w:r w:rsidRPr="0057071D">
        <w:rPr>
          <w:sz w:val="22"/>
          <w:szCs w:val="22"/>
          <w:lang w:val="en-US"/>
        </w:rPr>
        <w:t>effect</w:t>
      </w:r>
      <w:r w:rsidRPr="0057071D">
        <w:rPr>
          <w:sz w:val="22"/>
          <w:szCs w:val="22"/>
        </w:rPr>
        <w:t>) του 2015 στο τρέχον έτος, που εκτιμάται ότι θα επέλθει σε σύντομο διάστημα από το τέλος του πρώτου εξαμήνου</w:t>
      </w:r>
      <w:r w:rsidRPr="0057071D">
        <w:rPr>
          <w:rStyle w:val="a9"/>
          <w:sz w:val="22"/>
          <w:szCs w:val="22"/>
        </w:rPr>
        <w:footnoteReference w:id="18"/>
      </w:r>
      <w:r w:rsidRPr="0057071D">
        <w:rPr>
          <w:sz w:val="22"/>
          <w:szCs w:val="22"/>
        </w:rPr>
        <w:t xml:space="preserve">.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Οι δείκτες Οικονομικής Συγκυρίας έδειξαν σαφή βελτίωση εντός του 9μήνου Ιανουαρίου – Σεπτε</w:t>
      </w:r>
      <w:r w:rsidRPr="0057071D">
        <w:rPr>
          <w:sz w:val="22"/>
          <w:szCs w:val="22"/>
        </w:rPr>
        <w:t>μ</w:t>
      </w:r>
      <w:r w:rsidRPr="0057071D">
        <w:rPr>
          <w:sz w:val="22"/>
          <w:szCs w:val="22"/>
        </w:rPr>
        <w:t>βρίου 2016, σε σύγκριση με το αντίστοιχο 9μηνο του 2015, με τον δείκτη επιχειρηματικών προσδο</w:t>
      </w:r>
      <w:r w:rsidR="007E71A6">
        <w:rPr>
          <w:sz w:val="22"/>
          <w:szCs w:val="22"/>
        </w:rPr>
        <w:t>κ</w:t>
      </w:r>
      <w:r w:rsidR="007E71A6">
        <w:rPr>
          <w:sz w:val="22"/>
          <w:szCs w:val="22"/>
        </w:rPr>
        <w:t>ι</w:t>
      </w:r>
      <w:r w:rsidR="007E71A6">
        <w:rPr>
          <w:sz w:val="22"/>
          <w:szCs w:val="22"/>
        </w:rPr>
        <w:t>ών στη β</w:t>
      </w:r>
      <w:r w:rsidRPr="0057071D">
        <w:rPr>
          <w:sz w:val="22"/>
          <w:szCs w:val="22"/>
        </w:rPr>
        <w:t xml:space="preserve">ιομηχανία να ανέρχεται στις 91,2 μονάδες (έναντι 81,6), και το δείκτη επιχειρηματικών προσδοκιών </w:t>
      </w:r>
      <w:r w:rsidR="007E71A6">
        <w:rPr>
          <w:sz w:val="22"/>
          <w:szCs w:val="22"/>
        </w:rPr>
        <w:t>στο λ</w:t>
      </w:r>
      <w:r w:rsidRPr="0057071D">
        <w:rPr>
          <w:sz w:val="22"/>
          <w:szCs w:val="22"/>
        </w:rPr>
        <w:t xml:space="preserve">ιανικό </w:t>
      </w:r>
      <w:r w:rsidR="007E71A6">
        <w:rPr>
          <w:sz w:val="22"/>
          <w:szCs w:val="22"/>
        </w:rPr>
        <w:t>ε</w:t>
      </w:r>
      <w:r w:rsidRPr="0057071D">
        <w:rPr>
          <w:sz w:val="22"/>
          <w:szCs w:val="22"/>
        </w:rPr>
        <w:t>μπόριο στις 97,5 μονάδες (έναντι 81,0). Ο δείκτης Υπεύθυνων Προμηθειών περιορίστηκε στις 49,4 μονάδες το 9μηνο του 2016 έναντι των ωστόσο χαμηλότερων 44,4 μονάδων το 8μηνο του 2015 .</w:t>
      </w:r>
      <w:r w:rsidR="00E63E6B">
        <w:rPr>
          <w:sz w:val="22"/>
          <w:szCs w:val="22"/>
        </w:rPr>
        <w:t xml:space="preserve"> </w:t>
      </w:r>
      <w:r w:rsidRPr="0057071D">
        <w:rPr>
          <w:sz w:val="22"/>
          <w:szCs w:val="22"/>
        </w:rPr>
        <w:t xml:space="preserve">Ο δείκτης Οικονομικού Κλίματος το τρίτο τρίμηνο του 2016 βελτιώθηκε σημαντικά, φθάνοντας τις 91,6 μονάδες έναντι 80,7 μονάδων το αντίστοιχο τρίμηνο του 2015. Σε αυτό συνέβαλε η σταδιακή χαλάρωση των περιορισμών στην κίνηση κεφαλαίων, η οποία αναμένεται να συνεχιστεί το επόμενο διάστημα, έπειτα και από την επανένταξη των ελληνικών ομολόγων στον κατάλογο των επιλέξιμων </w:t>
      </w:r>
      <w:r w:rsidR="00BE5EFD">
        <w:rPr>
          <w:sz w:val="22"/>
          <w:szCs w:val="22"/>
        </w:rPr>
        <w:t xml:space="preserve">τίτλων </w:t>
      </w:r>
      <w:r w:rsidRPr="0057071D">
        <w:rPr>
          <w:sz w:val="22"/>
          <w:szCs w:val="22"/>
        </w:rPr>
        <w:t>στο πλαίσιο του Ευρωσυστήματος.</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ανάκαμψη της οικονομίας αναμένεται να ευοδωθεί από το δεύτερο μισό του έτους, στη βάση της ήδη διαφαινόμενης τάσης βελτίωσης στην αγορά εργασίας και στην προοπτική οικονομικής σταθερ</w:t>
      </w:r>
      <w:r w:rsidRPr="0057071D">
        <w:rPr>
          <w:sz w:val="22"/>
          <w:szCs w:val="22"/>
        </w:rPr>
        <w:t>ό</w:t>
      </w:r>
      <w:r w:rsidRPr="0057071D">
        <w:rPr>
          <w:sz w:val="22"/>
          <w:szCs w:val="22"/>
        </w:rPr>
        <w:t>τητας. Η τελευταία ενισχύεται από την επιτυχή έκβαση της πρώτης αξιολόγησης του προγράμματος στήριξης, κατόπιν της συμφωνίας με τους Θεσμούς επί του πακέτου προαπαιτούμενων μέτρων πρ</w:t>
      </w:r>
      <w:r w:rsidRPr="0057071D">
        <w:rPr>
          <w:sz w:val="22"/>
          <w:szCs w:val="22"/>
        </w:rPr>
        <w:t>ο</w:t>
      </w:r>
      <w:r w:rsidRPr="0057071D">
        <w:rPr>
          <w:sz w:val="22"/>
          <w:szCs w:val="22"/>
        </w:rPr>
        <w:t>σαρμογής, τον Ιούνιο του 2016, και της τυπικής ολοκλήρωσης της αξιολόγησης με την εκτα</w:t>
      </w:r>
      <w:r w:rsidR="007E71A6">
        <w:rPr>
          <w:sz w:val="22"/>
          <w:szCs w:val="22"/>
        </w:rPr>
        <w:t>μίευση της υπο-δόσης των 2,8 δισ.</w:t>
      </w:r>
      <w:r w:rsidRPr="0057071D">
        <w:rPr>
          <w:sz w:val="22"/>
          <w:szCs w:val="22"/>
        </w:rPr>
        <w:t xml:space="preserve"> ευρώ του  Οκτωβρίου. Με τον τρόπο αυτό:</w:t>
      </w:r>
    </w:p>
    <w:p w:rsidR="009666A7" w:rsidRPr="0057071D" w:rsidRDefault="009666A7" w:rsidP="009666A7">
      <w:pPr>
        <w:jc w:val="both"/>
        <w:rPr>
          <w:sz w:val="22"/>
          <w:szCs w:val="22"/>
        </w:rPr>
      </w:pPr>
    </w:p>
    <w:p w:rsidR="009666A7" w:rsidRPr="0057071D" w:rsidRDefault="009666A7" w:rsidP="009666A7">
      <w:pPr>
        <w:numPr>
          <w:ilvl w:val="0"/>
          <w:numId w:val="14"/>
        </w:numPr>
        <w:ind w:left="425" w:hanging="425"/>
        <w:jc w:val="both"/>
        <w:rPr>
          <w:sz w:val="22"/>
          <w:szCs w:val="22"/>
        </w:rPr>
      </w:pPr>
      <w:r w:rsidRPr="0057071D">
        <w:rPr>
          <w:sz w:val="22"/>
          <w:szCs w:val="22"/>
        </w:rPr>
        <w:t xml:space="preserve">εξασφαλίσθηκε η ομαλή χρηματοδότηση της οικονομίας, </w:t>
      </w:r>
    </w:p>
    <w:p w:rsidR="009666A7" w:rsidRPr="0057071D" w:rsidRDefault="009666A7" w:rsidP="009666A7">
      <w:pPr>
        <w:numPr>
          <w:ilvl w:val="0"/>
          <w:numId w:val="14"/>
        </w:numPr>
        <w:ind w:left="425" w:hanging="425"/>
        <w:jc w:val="both"/>
        <w:rPr>
          <w:sz w:val="22"/>
          <w:szCs w:val="22"/>
        </w:rPr>
      </w:pPr>
      <w:r w:rsidRPr="0057071D">
        <w:rPr>
          <w:sz w:val="22"/>
          <w:szCs w:val="22"/>
        </w:rPr>
        <w:t>δημιουργήθηκαν θετικές προσδοκίες στην πραγματική οικονομία και το επενδυτικό κοινό σε σχέση με τις προοπτικές οικονομικής σταθερότητας,</w:t>
      </w:r>
    </w:p>
    <w:p w:rsidR="009666A7" w:rsidRPr="0057071D" w:rsidRDefault="009666A7" w:rsidP="009666A7">
      <w:pPr>
        <w:numPr>
          <w:ilvl w:val="0"/>
          <w:numId w:val="14"/>
        </w:numPr>
        <w:ind w:left="425" w:hanging="425"/>
        <w:jc w:val="both"/>
        <w:rPr>
          <w:sz w:val="22"/>
          <w:szCs w:val="22"/>
        </w:rPr>
      </w:pPr>
      <w:r w:rsidRPr="0057071D">
        <w:rPr>
          <w:sz w:val="22"/>
          <w:szCs w:val="22"/>
        </w:rPr>
        <w:t>δημιουργήθηκαν οι αναγκαίες συνθήκες για την (ήδη πραγματοποιηθείσα την 29</w:t>
      </w:r>
      <w:r w:rsidRPr="0057071D">
        <w:rPr>
          <w:sz w:val="22"/>
          <w:szCs w:val="22"/>
          <w:vertAlign w:val="superscript"/>
        </w:rPr>
        <w:t>η</w:t>
      </w:r>
      <w:r w:rsidRPr="0057071D">
        <w:rPr>
          <w:sz w:val="22"/>
          <w:szCs w:val="22"/>
        </w:rPr>
        <w:t xml:space="preserve"> Ιουνίου) επ</w:t>
      </w:r>
      <w:r w:rsidRPr="0057071D">
        <w:rPr>
          <w:sz w:val="22"/>
          <w:szCs w:val="22"/>
        </w:rPr>
        <w:t>α</w:t>
      </w:r>
      <w:r w:rsidRPr="0057071D">
        <w:rPr>
          <w:sz w:val="22"/>
          <w:szCs w:val="22"/>
        </w:rPr>
        <w:t>ναφορά από την ΕΚΤ της επιλεξιμότητας των ελληνικών ομολόγων ως ενέχυρο στις πράξεις ν</w:t>
      </w:r>
      <w:r w:rsidRPr="0057071D">
        <w:rPr>
          <w:sz w:val="22"/>
          <w:szCs w:val="22"/>
        </w:rPr>
        <w:t>ο</w:t>
      </w:r>
      <w:r w:rsidRPr="0057071D">
        <w:rPr>
          <w:sz w:val="22"/>
          <w:szCs w:val="22"/>
        </w:rPr>
        <w:t xml:space="preserve">μισματικής πολιτικής του Ευρωσυστήματος, η οποία μεταφράζεται σε πρόσβαση του ελληνικού τραπεζικού συστήματος σε ρευστότητα χαμηλότερου κόστους, </w:t>
      </w:r>
    </w:p>
    <w:p w:rsidR="009666A7" w:rsidRPr="0057071D" w:rsidRDefault="009666A7" w:rsidP="009666A7">
      <w:pPr>
        <w:numPr>
          <w:ilvl w:val="0"/>
          <w:numId w:val="14"/>
        </w:numPr>
        <w:ind w:left="425" w:hanging="425"/>
        <w:jc w:val="both"/>
        <w:rPr>
          <w:sz w:val="22"/>
          <w:szCs w:val="22"/>
        </w:rPr>
      </w:pPr>
      <w:r w:rsidRPr="0057071D">
        <w:rPr>
          <w:sz w:val="22"/>
          <w:szCs w:val="22"/>
        </w:rPr>
        <w:t>συμφωνήθηκε η παροχή ρευστότητας προς την πραγματική οικονομία μέσω της πληρωμής λ</w:t>
      </w:r>
      <w:r w:rsidRPr="0057071D">
        <w:rPr>
          <w:sz w:val="22"/>
          <w:szCs w:val="22"/>
        </w:rPr>
        <w:t>η</w:t>
      </w:r>
      <w:r w:rsidRPr="0057071D">
        <w:rPr>
          <w:sz w:val="22"/>
          <w:szCs w:val="22"/>
        </w:rPr>
        <w:t xml:space="preserve">ξιπρόθεσμων οφειλών του δημοσίου προς τον ιδιωτικό τομέα ύψους 3,5 δισ. ευρώ, </w:t>
      </w:r>
    </w:p>
    <w:p w:rsidR="009666A7" w:rsidRPr="0057071D" w:rsidRDefault="009666A7" w:rsidP="009666A7">
      <w:pPr>
        <w:numPr>
          <w:ilvl w:val="0"/>
          <w:numId w:val="14"/>
        </w:numPr>
        <w:ind w:left="425" w:hanging="425"/>
        <w:jc w:val="both"/>
        <w:rPr>
          <w:sz w:val="22"/>
          <w:szCs w:val="22"/>
        </w:rPr>
      </w:pPr>
      <w:r w:rsidRPr="0057071D">
        <w:rPr>
          <w:sz w:val="22"/>
          <w:szCs w:val="22"/>
        </w:rPr>
        <w:t>χαράχθηκε ο οδικός χάρτης για τη βιωσιμότητα του δημόσιου χρέους, με την έναρξη της συζήτ</w:t>
      </w:r>
      <w:r w:rsidRPr="0057071D">
        <w:rPr>
          <w:sz w:val="22"/>
          <w:szCs w:val="22"/>
        </w:rPr>
        <w:t>η</w:t>
      </w:r>
      <w:r w:rsidRPr="0057071D">
        <w:rPr>
          <w:sz w:val="22"/>
          <w:szCs w:val="22"/>
        </w:rPr>
        <w:t>σης επί συγκεκριμένων δεσμών μέτρων για τη διασφάλιση της αδιάλειπτης και βιώσιμης εξυπ</w:t>
      </w:r>
      <w:r w:rsidRPr="0057071D">
        <w:rPr>
          <w:sz w:val="22"/>
          <w:szCs w:val="22"/>
        </w:rPr>
        <w:t>η</w:t>
      </w:r>
      <w:r w:rsidRPr="0057071D">
        <w:rPr>
          <w:sz w:val="22"/>
          <w:szCs w:val="22"/>
        </w:rPr>
        <w:t>ρέτησής του.</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Σε αυτή τη βάση, και δεδομένου ότι ο ρυθμός μεταβολής του ΑΕΠ του 2015 σε όρους όγκου δεν μ</w:t>
      </w:r>
      <w:r w:rsidRPr="0057071D">
        <w:rPr>
          <w:sz w:val="22"/>
          <w:szCs w:val="22"/>
        </w:rPr>
        <w:t>ε</w:t>
      </w:r>
      <w:r w:rsidRPr="0057071D">
        <w:rPr>
          <w:sz w:val="22"/>
          <w:szCs w:val="22"/>
        </w:rPr>
        <w:t xml:space="preserve">ταβλήθηκε κατά την πρόσφατη αναθεώρηση των ετήσιων εθνικολογιστικών στοιχείων της ΕΛΣΤΑΤ, το πραγματικό ΑΕΠ συνεχίζει να εκτιμάται οριακά μειούμενο το 2016, κατά 0,3%.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Ως προς τις συνιστώσες της τελικής εγχώριας ζήτησης</w:t>
      </w:r>
      <w:r w:rsidRPr="0057071D">
        <w:rPr>
          <w:rStyle w:val="a9"/>
          <w:sz w:val="22"/>
          <w:szCs w:val="22"/>
        </w:rPr>
        <w:footnoteReference w:id="19"/>
      </w:r>
      <w:r w:rsidRPr="0057071D">
        <w:rPr>
          <w:sz w:val="22"/>
          <w:szCs w:val="22"/>
        </w:rPr>
        <w:t>, η πραγματική ιδιωτική και η δημόσια κατ</w:t>
      </w:r>
      <w:r w:rsidRPr="0057071D">
        <w:rPr>
          <w:sz w:val="22"/>
          <w:szCs w:val="22"/>
        </w:rPr>
        <w:t>α</w:t>
      </w:r>
      <w:r w:rsidRPr="0057071D">
        <w:rPr>
          <w:sz w:val="22"/>
          <w:szCs w:val="22"/>
        </w:rPr>
        <w:t xml:space="preserve">νάλωση εκτιμάται ότι θα κινηθούν καθοδικά στο σύνολο του έτους, στο -0,6% και -1,5% αντίστοιχα, ενώ η επενδυτική δραστηριότητα ανοδικά, στο +3,3%.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Σε σχέση με τον εξωτερικό τομέα της οικονομίας, η αναθεώρηση των ετήσιων πραγματικών εξαγ</w:t>
      </w:r>
      <w:r w:rsidRPr="0057071D">
        <w:rPr>
          <w:sz w:val="22"/>
          <w:szCs w:val="22"/>
        </w:rPr>
        <w:t>ω</w:t>
      </w:r>
      <w:r w:rsidRPr="0057071D">
        <w:rPr>
          <w:sz w:val="22"/>
          <w:szCs w:val="22"/>
        </w:rPr>
        <w:t>γών και εισαγωγών του 2015, σε συνδυασμό με την εξέλιξη των βραχυχρόνιων δεικτών εντός του 2016, έχουν αναδιαμορφώσει τις σχετικές εκτιμήσεις για το τρέχον έτος  στο 0,8% και στο 2,7%, α</w:t>
      </w:r>
      <w:r w:rsidRPr="0057071D">
        <w:rPr>
          <w:sz w:val="22"/>
          <w:szCs w:val="22"/>
        </w:rPr>
        <w:t>ν</w:t>
      </w:r>
      <w:r w:rsidRPr="0057071D">
        <w:rPr>
          <w:sz w:val="22"/>
          <w:szCs w:val="22"/>
        </w:rPr>
        <w:t>τιστοίχως. Η σταδιακή προσαρμογή των εισαγωγών και η χαλάρωση των ελέγχων στην κίνηση κεφ</w:t>
      </w:r>
      <w:r w:rsidRPr="0057071D">
        <w:rPr>
          <w:sz w:val="22"/>
          <w:szCs w:val="22"/>
        </w:rPr>
        <w:t>α</w:t>
      </w:r>
      <w:r w:rsidRPr="0057071D">
        <w:rPr>
          <w:sz w:val="22"/>
          <w:szCs w:val="22"/>
        </w:rPr>
        <w:t>λαίων αναμένεται, επομένως, να οδηγήσει το 2016 σε αρνητική συμβολή του εξωτερικού τομέα στην αύξηση του ΑΕΠ, κ</w:t>
      </w:r>
      <w:r w:rsidR="001F27FF">
        <w:rPr>
          <w:sz w:val="22"/>
          <w:szCs w:val="22"/>
        </w:rPr>
        <w:t>ατά -0,64 εκατοστιαίες μονάδες.</w:t>
      </w:r>
      <w:r w:rsidRPr="0057071D">
        <w:rPr>
          <w:sz w:val="22"/>
          <w:szCs w:val="22"/>
        </w:rPr>
        <w:t xml:space="preserve"> Τέλος, ο αποπληθωριστής του ΑΕΠ αναμένεται να διαμορφωθεί σε οριακά αρνητικό έδαφος, στο -0,2%.</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Όσον αφορά τις προσφυγικές ροές εντός του 2016, αυτές εκτιμώνται σημαντικά μικρότερες σε σχέση με το προηγούμενο έτος, καθώς σύμφωνα με τα στοιχεία της Ύπατης Αρμοστείας των Ηνωμένων Ε</w:t>
      </w:r>
      <w:r w:rsidRPr="0057071D">
        <w:rPr>
          <w:sz w:val="22"/>
          <w:szCs w:val="22"/>
        </w:rPr>
        <w:t>θ</w:t>
      </w:r>
      <w:r w:rsidRPr="0057071D">
        <w:rPr>
          <w:sz w:val="22"/>
          <w:szCs w:val="22"/>
        </w:rPr>
        <w:t xml:space="preserve">νών έως τις 23 Οκτωβρίου έχουν ανέλθει σε 169.243 άτομα, επιδεικνύοντας σαφή πτωτική τάση μετά την υπογραφή της συμφωνίας μεταξύ Ευρωπαϊκής Ένωσης και Τουρκίας. </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Σε γενικές γραμμές, η επαναφορά της οικονομίας σε πορεία ανάκαμψης, έχοντας ως εφαλτήριο το δ</w:t>
      </w:r>
      <w:r w:rsidRPr="0057071D">
        <w:rPr>
          <w:sz w:val="22"/>
          <w:szCs w:val="22"/>
        </w:rPr>
        <w:t>ε</w:t>
      </w:r>
      <w:r w:rsidRPr="0057071D">
        <w:rPr>
          <w:sz w:val="22"/>
          <w:szCs w:val="22"/>
        </w:rPr>
        <w:t>ύτερο εξάμηνο του 2016, αναμένεται να γίνει εμφανέστερη εντός του 2017, με εδραίωση υψηλών ρυθμών ανάπτυξης μεσοπρόθεσμα.</w:t>
      </w:r>
    </w:p>
    <w:p w:rsidR="009666A7" w:rsidRPr="0057071D" w:rsidRDefault="009666A7" w:rsidP="009666A7">
      <w:pPr>
        <w:jc w:val="both"/>
        <w:rPr>
          <w:sz w:val="22"/>
          <w:szCs w:val="22"/>
        </w:rPr>
      </w:pPr>
    </w:p>
    <w:p w:rsidR="009666A7" w:rsidRPr="006E219D" w:rsidRDefault="009666A7" w:rsidP="009666A7">
      <w:pPr>
        <w:jc w:val="both"/>
        <w:rPr>
          <w:b/>
          <w:szCs w:val="22"/>
        </w:rPr>
      </w:pPr>
      <w:r w:rsidRPr="006E219D">
        <w:rPr>
          <w:rFonts w:ascii="Arial Narrow" w:hAnsi="Arial Narrow"/>
          <w:b/>
          <w:bCs/>
          <w:i/>
          <w:sz w:val="22"/>
          <w:szCs w:val="22"/>
        </w:rPr>
        <w:t>Πληθωρισμός</w:t>
      </w:r>
      <w:r w:rsidRPr="006E219D">
        <w:rPr>
          <w:b/>
          <w:szCs w:val="22"/>
        </w:rPr>
        <w:t xml:space="preserve"> - </w:t>
      </w:r>
      <w:r w:rsidRPr="006E219D">
        <w:rPr>
          <w:rFonts w:ascii="Arial Narrow" w:hAnsi="Arial Narrow"/>
          <w:b/>
          <w:bCs/>
          <w:i/>
          <w:sz w:val="22"/>
          <w:szCs w:val="22"/>
        </w:rPr>
        <w:t>Τιμές</w:t>
      </w:r>
    </w:p>
    <w:p w:rsidR="009666A7" w:rsidRPr="006E219D" w:rsidRDefault="009666A7" w:rsidP="009666A7">
      <w:pPr>
        <w:jc w:val="both"/>
        <w:rPr>
          <w:szCs w:val="22"/>
        </w:rPr>
      </w:pPr>
    </w:p>
    <w:p w:rsidR="009666A7" w:rsidRPr="0057071D" w:rsidRDefault="009666A7" w:rsidP="009666A7">
      <w:pPr>
        <w:jc w:val="both"/>
        <w:rPr>
          <w:sz w:val="22"/>
          <w:szCs w:val="22"/>
        </w:rPr>
      </w:pPr>
      <w:r w:rsidRPr="0057071D">
        <w:rPr>
          <w:sz w:val="22"/>
          <w:szCs w:val="22"/>
        </w:rPr>
        <w:t>Η μείωση της ιδιωτικής κατανάλωσης και της τελικής εγχώριας ζήτησης μεταξύ 2009 και 2013 οδ</w:t>
      </w:r>
      <w:r w:rsidRPr="0057071D">
        <w:rPr>
          <w:sz w:val="22"/>
          <w:szCs w:val="22"/>
        </w:rPr>
        <w:t>ή</w:t>
      </w:r>
      <w:r w:rsidRPr="0057071D">
        <w:rPr>
          <w:sz w:val="22"/>
          <w:szCs w:val="22"/>
        </w:rPr>
        <w:t>γησε σε αυξανόμενη καθοδική πίεση για το δείκτη τιμών καταναλωτή, με αρνητικό ρυθμό πληθωρι</w:t>
      </w:r>
      <w:r w:rsidRPr="0057071D">
        <w:rPr>
          <w:sz w:val="22"/>
          <w:szCs w:val="22"/>
        </w:rPr>
        <w:t>σ</w:t>
      </w:r>
      <w:r w:rsidRPr="0057071D">
        <w:rPr>
          <w:sz w:val="22"/>
          <w:szCs w:val="22"/>
        </w:rPr>
        <w:t>μού να καταγράφεται από το 2013 έως και το 2015. Κατά το ίδιο διάστημα, ο πληθωρισμός στην Ε</w:t>
      </w:r>
      <w:r w:rsidRPr="0057071D">
        <w:rPr>
          <w:sz w:val="22"/>
          <w:szCs w:val="22"/>
        </w:rPr>
        <w:t>υ</w:t>
      </w:r>
      <w:r w:rsidRPr="0057071D">
        <w:rPr>
          <w:sz w:val="22"/>
          <w:szCs w:val="22"/>
        </w:rPr>
        <w:t>ρωζώνη επιβραδυνόταν, παραμένοντας όμως σε θετικό έδαφος έως το 2015 (οπότε μηδενίστηκε).</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Το 2014 υπήρξε για την Ελλάδα το έτος με τον υψηλότερο ρυθμό αποπληθωρισμού σε όλη την περί</w:t>
      </w:r>
      <w:r w:rsidRPr="0057071D">
        <w:rPr>
          <w:sz w:val="22"/>
          <w:szCs w:val="22"/>
        </w:rPr>
        <w:t>ο</w:t>
      </w:r>
      <w:r w:rsidRPr="0057071D">
        <w:rPr>
          <w:sz w:val="22"/>
          <w:szCs w:val="22"/>
        </w:rPr>
        <w:t>δο προσαρμογής, φτάνοντας το -1,4% βάσει του Εναρμονισμένου ΔΤΚ. Αντίθετα, το 2015 τα μέτρα έμμεσης φορολογίας που υιοθετήθηκαν περιόρισαν την υποχώρηση του εναρμονισμένου δείκτη</w:t>
      </w:r>
      <w:r w:rsidR="007E71A6">
        <w:rPr>
          <w:sz w:val="22"/>
          <w:szCs w:val="22"/>
        </w:rPr>
        <w:t xml:space="preserve">        </w:t>
      </w:r>
      <w:r w:rsidRPr="0057071D">
        <w:rPr>
          <w:sz w:val="22"/>
          <w:szCs w:val="22"/>
        </w:rPr>
        <w:t xml:space="preserve"> (-1,1%) και συνέβαλαν στη διαμόρφωση του εναρμονισμένου δομικού πληθωρισμού (πυρήνας ΓΔΤΚ) ελαφρώς πάνω από το μηδέν (0,1%). Το γεγονός αυτό αντανακλά την επίδραση της μείωσης της δι</w:t>
      </w:r>
      <w:r w:rsidRPr="0057071D">
        <w:rPr>
          <w:sz w:val="22"/>
          <w:szCs w:val="22"/>
        </w:rPr>
        <w:t>ε</w:t>
      </w:r>
      <w:r w:rsidRPr="0057071D">
        <w:rPr>
          <w:sz w:val="22"/>
          <w:szCs w:val="22"/>
        </w:rPr>
        <w:t>θνούς τιμής του πετρελαίου το 2015, κατά 37,5% σε ετήσια βάση, στο γενικό δείκτη τιμών.</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Οι τιμές συνέχισαν να κινούνται αρνητικά στο πρώτο 9μηνο του 2016 κατά μέσο όρο, με τον Εναρμ</w:t>
      </w:r>
      <w:r w:rsidRPr="0057071D">
        <w:rPr>
          <w:sz w:val="22"/>
          <w:szCs w:val="22"/>
        </w:rPr>
        <w:t>ο</w:t>
      </w:r>
      <w:r w:rsidRPr="0057071D">
        <w:rPr>
          <w:sz w:val="22"/>
          <w:szCs w:val="22"/>
        </w:rPr>
        <w:t>νισμένο ΔΤΚ στο -0,1%, παρά την αυξητική τάση του δείκτη μεταξύ Ιουνίου και Αυγούστου σε επ</w:t>
      </w:r>
      <w:r w:rsidRPr="0057071D">
        <w:rPr>
          <w:sz w:val="22"/>
          <w:szCs w:val="22"/>
        </w:rPr>
        <w:t>ί</w:t>
      </w:r>
      <w:r w:rsidRPr="0057071D">
        <w:rPr>
          <w:sz w:val="22"/>
          <w:szCs w:val="22"/>
        </w:rPr>
        <w:t>πεδο ελαφρώς πάνω από το μέσο όρο της Ευρωζώνης. Ο Εναρμονισμένος δείκτης με σταθερούς φ</w:t>
      </w:r>
      <w:r w:rsidRPr="0057071D">
        <w:rPr>
          <w:sz w:val="22"/>
          <w:szCs w:val="22"/>
        </w:rPr>
        <w:t>ό</w:t>
      </w:r>
      <w:r w:rsidRPr="0057071D">
        <w:rPr>
          <w:sz w:val="22"/>
          <w:szCs w:val="22"/>
        </w:rPr>
        <w:t>ρους κυμάνθηκε γύρω από το -1,8% το ίδιο διάστημα, έναντι -1,5% στο 9μηνο του 2015. Αυτό υπ</w:t>
      </w:r>
      <w:r w:rsidRPr="0057071D">
        <w:rPr>
          <w:sz w:val="22"/>
          <w:szCs w:val="22"/>
        </w:rPr>
        <w:t>ο</w:t>
      </w:r>
      <w:r w:rsidRPr="0057071D">
        <w:rPr>
          <w:sz w:val="22"/>
          <w:szCs w:val="22"/>
        </w:rPr>
        <w:t>δηλώνει ότι η μέση καθοδική πίεση στις τιμές την ίδια περίοδο σχεδόν εκμηδενίστηκε από τις αυξήσ</w:t>
      </w:r>
      <w:r w:rsidRPr="0057071D">
        <w:rPr>
          <w:sz w:val="22"/>
          <w:szCs w:val="22"/>
        </w:rPr>
        <w:t>ε</w:t>
      </w:r>
      <w:r w:rsidRPr="0057071D">
        <w:rPr>
          <w:sz w:val="22"/>
          <w:szCs w:val="22"/>
        </w:rPr>
        <w:t>ις στην έμμεση φορολογία (ΦΠΑ, ειδικοί φόροι κατανάλωσης). Επιπρόσθετα, η διεθνής τιμή του πε</w:t>
      </w:r>
      <w:r w:rsidRPr="0057071D">
        <w:rPr>
          <w:sz w:val="22"/>
          <w:szCs w:val="22"/>
        </w:rPr>
        <w:t>τ</w:t>
      </w:r>
      <w:r w:rsidRPr="0057071D">
        <w:rPr>
          <w:sz w:val="22"/>
          <w:szCs w:val="22"/>
        </w:rPr>
        <w:t>ρελαίου παρουσίασε νέα μείωση τον Ιανουάριο του 2016, ενώ συνέχισε να υποχωρεί κατά μέσο όρο το πρώτο 9μηνο του 2016 έναντι του 2015, παρά την ανάκαμψή του σε μηνιαία βάση μεταξύ Μαρτίου και Ιουνίου 2016. Ως εκ τούτου, ο Εναρμονισμένος δομικός πληθωρισμός κινήθηκε περισσότερο α</w:t>
      </w:r>
      <w:r w:rsidRPr="0057071D">
        <w:rPr>
          <w:sz w:val="22"/>
          <w:szCs w:val="22"/>
        </w:rPr>
        <w:t>υ</w:t>
      </w:r>
      <w:r w:rsidRPr="0057071D">
        <w:rPr>
          <w:sz w:val="22"/>
          <w:szCs w:val="22"/>
        </w:rPr>
        <w:t>ξητικά από τον Εναρμονισμένο ΔΤΚ, κλείνοντας στο 0,9% το πρώτο 9μηνο του έτους, έναντι -0,2% την αντίστοιχη περίοδο του 2015.</w:t>
      </w:r>
    </w:p>
    <w:p w:rsidR="009666A7" w:rsidRPr="0057071D" w:rsidRDefault="009666A7" w:rsidP="009666A7">
      <w:pPr>
        <w:jc w:val="both"/>
        <w:rPr>
          <w:color w:val="7030A0"/>
          <w:sz w:val="22"/>
          <w:szCs w:val="22"/>
        </w:rPr>
      </w:pPr>
    </w:p>
    <w:p w:rsidR="009666A7" w:rsidRPr="0057071D" w:rsidRDefault="009666A7" w:rsidP="009666A7">
      <w:pPr>
        <w:jc w:val="both"/>
        <w:rPr>
          <w:sz w:val="22"/>
          <w:szCs w:val="22"/>
        </w:rPr>
      </w:pPr>
      <w:r w:rsidRPr="0057071D">
        <w:rPr>
          <w:sz w:val="22"/>
          <w:szCs w:val="22"/>
        </w:rPr>
        <w:t>Η αντίστοιχη συμπίεση των τιμών στην Ευρωζώνη, που ξεκίνησε από το Δεκέμβριο του 2014, υπήρξε περιορισμένη σε σχέση με την περίπτωση της Ελλάδας καθ’ όλο το διάστημα των αποπληθωριστικών πιέσεων. Τόσο στο πρώτο 9μηνο του 2015 όσο και στο σύνολο του έτους, ο Εναρμονισμένος δείκτης κυμάνθηκε κατά μέσο όρο στο μηδέν, ενώ στο 9μηνο του 2016 κατέγραψε μικρή άνοδο (0,1%). Το γεγονός αυτό συνδέεται με την εφαρμοζόμενη επεκτατική νομισματική πολιτική της ΕΚΤ προς την επίτευξη του μακροπρόθεσμου στόχου του 2%.</w:t>
      </w:r>
    </w:p>
    <w:p w:rsidR="009666A7" w:rsidRPr="0057071D" w:rsidRDefault="009666A7" w:rsidP="009666A7">
      <w:pPr>
        <w:jc w:val="both"/>
        <w:rPr>
          <w:color w:val="7030A0"/>
          <w:sz w:val="22"/>
          <w:szCs w:val="22"/>
        </w:rPr>
      </w:pPr>
    </w:p>
    <w:p w:rsidR="009666A7" w:rsidRPr="0057071D" w:rsidRDefault="009666A7" w:rsidP="009666A7">
      <w:pPr>
        <w:jc w:val="both"/>
        <w:rPr>
          <w:sz w:val="22"/>
          <w:szCs w:val="22"/>
        </w:rPr>
      </w:pPr>
      <w:r w:rsidRPr="0057071D">
        <w:rPr>
          <w:sz w:val="22"/>
          <w:szCs w:val="22"/>
        </w:rPr>
        <w:t>Στο σύνολο του 2016, η συνισταμένη από την (σε ετήσια βάση) αρνητική μεταβολή της τιμής του πετρελαίου, την οριακή υποχώρηση της τελικής εγχώριας ζήτησης στην Ελλάδα έναντι του 2015 (κ</w:t>
      </w:r>
      <w:r w:rsidRPr="0057071D">
        <w:rPr>
          <w:sz w:val="22"/>
          <w:szCs w:val="22"/>
        </w:rPr>
        <w:t>α</w:t>
      </w:r>
      <w:r w:rsidRPr="0057071D">
        <w:rPr>
          <w:sz w:val="22"/>
          <w:szCs w:val="22"/>
        </w:rPr>
        <w:t>τά 0,4%), και την επίδραση των αυξήσεων στην έμμεση φορολογία, αναμένεται να διατηρήσει τις τ</w:t>
      </w:r>
      <w:r w:rsidRPr="0057071D">
        <w:rPr>
          <w:sz w:val="22"/>
          <w:szCs w:val="22"/>
        </w:rPr>
        <w:t>ι</w:t>
      </w:r>
      <w:r w:rsidRPr="0057071D">
        <w:rPr>
          <w:sz w:val="22"/>
          <w:szCs w:val="22"/>
        </w:rPr>
        <w:t>μές στο ίδιο επίπεδο με το 2015. Η εκτιμώμενη ανάκαμψη της ζήτησης από το δεύτερο εξάμηνο του 2016, σε συνδυασμό με τη σταδιακή άνοδο της τιμής του πετρελαίου από το 2017, αναμένεται από τον Ιούνιο του επόμενου έτους να αντικαταστήσει την έμμεση φορολογία ως πηγή αυξητικής επίδρ</w:t>
      </w:r>
      <w:r w:rsidRPr="0057071D">
        <w:rPr>
          <w:sz w:val="22"/>
          <w:szCs w:val="22"/>
        </w:rPr>
        <w:t>α</w:t>
      </w:r>
      <w:r w:rsidRPr="0057071D">
        <w:rPr>
          <w:sz w:val="22"/>
          <w:szCs w:val="22"/>
        </w:rPr>
        <w:t>σης στις τιμές, οδηγώντας σε θετικούς ρυθμούς πληθωρισμού σε όλη τη μεσοπρόθεσμη περίοδο.</w:t>
      </w:r>
    </w:p>
    <w:p w:rsidR="009666A7" w:rsidRPr="0057071D" w:rsidRDefault="009666A7" w:rsidP="009666A7">
      <w:pPr>
        <w:jc w:val="both"/>
        <w:rPr>
          <w:sz w:val="22"/>
          <w:szCs w:val="22"/>
        </w:rPr>
      </w:pPr>
    </w:p>
    <w:p w:rsidR="009666A7" w:rsidRPr="006E219D" w:rsidRDefault="009666A7" w:rsidP="009666A7">
      <w:pPr>
        <w:jc w:val="both"/>
        <w:rPr>
          <w:rFonts w:ascii="Arial Narrow" w:hAnsi="Arial Narrow"/>
          <w:b/>
          <w:i/>
          <w:szCs w:val="22"/>
        </w:rPr>
      </w:pPr>
      <w:r w:rsidRPr="006E219D">
        <w:rPr>
          <w:rFonts w:ascii="Arial Narrow" w:hAnsi="Arial Narrow"/>
          <w:b/>
          <w:bCs/>
          <w:i/>
          <w:sz w:val="22"/>
          <w:szCs w:val="22"/>
        </w:rPr>
        <w:t>Απασχόληση</w:t>
      </w:r>
      <w:r w:rsidRPr="006E219D">
        <w:rPr>
          <w:b/>
          <w:i/>
          <w:szCs w:val="22"/>
        </w:rPr>
        <w:t xml:space="preserve"> - </w:t>
      </w:r>
      <w:r w:rsidRPr="006E219D">
        <w:rPr>
          <w:rFonts w:ascii="Arial Narrow" w:hAnsi="Arial Narrow"/>
          <w:b/>
          <w:bCs/>
          <w:i/>
          <w:sz w:val="22"/>
          <w:szCs w:val="22"/>
        </w:rPr>
        <w:t>Α</w:t>
      </w:r>
      <w:r w:rsidRPr="006E219D">
        <w:rPr>
          <w:rFonts w:ascii="Arial Narrow" w:hAnsi="Arial Narrow"/>
          <w:b/>
          <w:i/>
          <w:szCs w:val="22"/>
        </w:rPr>
        <w:t>νεργία</w:t>
      </w:r>
    </w:p>
    <w:p w:rsidR="009666A7" w:rsidRPr="0057071D" w:rsidRDefault="009666A7" w:rsidP="009666A7">
      <w:pPr>
        <w:spacing w:before="120" w:after="120"/>
        <w:jc w:val="both"/>
        <w:rPr>
          <w:sz w:val="22"/>
          <w:szCs w:val="22"/>
        </w:rPr>
      </w:pPr>
      <w:r w:rsidRPr="0057071D">
        <w:rPr>
          <w:sz w:val="22"/>
          <w:szCs w:val="22"/>
        </w:rPr>
        <w:t>Οι βασικοί δείκτες της ελληνικής αγοράς εργασίας υπέστησαν σημαντική επιδείνωση από το 2009 έως το 2013, με την απασχόληση σε συνεχή μείωση και την ανεργία να εκτινάσσεται στα υψηλότερα επ</w:t>
      </w:r>
      <w:r w:rsidRPr="0057071D">
        <w:rPr>
          <w:sz w:val="22"/>
          <w:szCs w:val="22"/>
        </w:rPr>
        <w:t>ί</w:t>
      </w:r>
      <w:r w:rsidRPr="0057071D">
        <w:rPr>
          <w:sz w:val="22"/>
          <w:szCs w:val="22"/>
        </w:rPr>
        <w:t>πεδα της Ευρωζώνης το 2013 (27,5% του εργατικού δυναμικού), το 2014 (26,5%) και το 2015 (24,9%)</w:t>
      </w:r>
      <w:r w:rsidRPr="0057071D">
        <w:rPr>
          <w:rStyle w:val="a9"/>
          <w:sz w:val="22"/>
          <w:szCs w:val="22"/>
        </w:rPr>
        <w:footnoteReference w:id="20"/>
      </w:r>
      <w:r w:rsidRPr="0057071D">
        <w:rPr>
          <w:sz w:val="22"/>
          <w:szCs w:val="22"/>
        </w:rPr>
        <w:t>. Το πρώτο 7μηνο του 2016, η ανεργία κυμάνθηκε κατά μέσο όρο στο 23,7% (έναντι 25,3% το αντίστοιχο διάστημα του 2015</w:t>
      </w:r>
      <w:r w:rsidRPr="0057071D">
        <w:rPr>
          <w:sz w:val="22"/>
          <w:szCs w:val="22"/>
          <w:vertAlign w:val="superscript"/>
        </w:rPr>
        <w:footnoteReference w:id="21"/>
      </w:r>
      <w:r w:rsidRPr="0057071D">
        <w:rPr>
          <w:sz w:val="22"/>
          <w:szCs w:val="22"/>
        </w:rPr>
        <w:t xml:space="preserve">). Το ανωτέρω ποσοστό αποτελεί επίσης την εκτίμηση για την </w:t>
      </w:r>
      <w:r w:rsidRPr="0057071D">
        <w:rPr>
          <w:sz w:val="22"/>
          <w:szCs w:val="22"/>
        </w:rPr>
        <w:t>α</w:t>
      </w:r>
      <w:r w:rsidRPr="0057071D">
        <w:rPr>
          <w:sz w:val="22"/>
          <w:szCs w:val="22"/>
        </w:rPr>
        <w:t>νεργία στο σύνολο του 2016, χαμηλότερα κατά 1,2 εκατοστιαία μονάδα έναντι του αντίστοιχου π</w:t>
      </w:r>
      <w:r w:rsidRPr="0057071D">
        <w:rPr>
          <w:sz w:val="22"/>
          <w:szCs w:val="22"/>
        </w:rPr>
        <w:t>ο</w:t>
      </w:r>
      <w:r w:rsidRPr="0057071D">
        <w:rPr>
          <w:sz w:val="22"/>
          <w:szCs w:val="22"/>
        </w:rPr>
        <w:t>σοστού του 2015</w:t>
      </w:r>
      <w:r w:rsidRPr="0057071D">
        <w:rPr>
          <w:sz w:val="22"/>
          <w:szCs w:val="22"/>
          <w:vertAlign w:val="superscript"/>
        </w:rPr>
        <w:footnoteReference w:id="22"/>
      </w:r>
      <w:r w:rsidRPr="0057071D">
        <w:rPr>
          <w:sz w:val="22"/>
          <w:szCs w:val="22"/>
        </w:rPr>
        <w:t>.</w:t>
      </w:r>
    </w:p>
    <w:p w:rsidR="009666A7" w:rsidRPr="0057071D" w:rsidRDefault="009666A7" w:rsidP="009666A7">
      <w:pPr>
        <w:jc w:val="both"/>
        <w:rPr>
          <w:sz w:val="22"/>
          <w:szCs w:val="22"/>
        </w:rPr>
      </w:pPr>
      <w:r w:rsidRPr="0057071D">
        <w:rPr>
          <w:sz w:val="22"/>
          <w:szCs w:val="22"/>
        </w:rPr>
        <w:t>Ο ρυθμός μείωσης της απασχόλησης σε εθνικολογιστική βάση κορυφώθηκε το 2011 (-6,9% σε ετήσια βάση), ενώ ενδείξεις ανάσχεσης της δυσμενούς τάσης εμφανίστηκαν μόλις το 2014, με την καταγρ</w:t>
      </w:r>
      <w:r w:rsidRPr="0057071D">
        <w:rPr>
          <w:sz w:val="22"/>
          <w:szCs w:val="22"/>
        </w:rPr>
        <w:t>α</w:t>
      </w:r>
      <w:r w:rsidRPr="0057071D">
        <w:rPr>
          <w:sz w:val="22"/>
          <w:szCs w:val="22"/>
        </w:rPr>
        <w:t>φή στασιμότητας στον αριθμό των απασχολούμενων έναντι του προηγούμενου χρόνου. Το 2015, π</w:t>
      </w:r>
      <w:r w:rsidRPr="0057071D">
        <w:rPr>
          <w:sz w:val="22"/>
          <w:szCs w:val="22"/>
        </w:rPr>
        <w:t>α</w:t>
      </w:r>
      <w:r w:rsidRPr="0057071D">
        <w:rPr>
          <w:sz w:val="22"/>
          <w:szCs w:val="22"/>
        </w:rPr>
        <w:t>ρά τη μείωση του εργατικού δυναμικού με μεγαλύτερο ρυθμό έναντι του 2014, η μεταστροφή της πτώσης της συνολικής απασχόλησης ήταν ευδιάκριτη (+0,5% σε ετήσια βάση), γεγονός στο οποίο συντέλεσαν η μικρή αύξηση στην οικονομική δραστηριότητα (0,4% σε όρους πραγματικού προϊό</w:t>
      </w:r>
      <w:r w:rsidRPr="0057071D">
        <w:rPr>
          <w:sz w:val="22"/>
          <w:szCs w:val="22"/>
        </w:rPr>
        <w:t>ν</w:t>
      </w:r>
      <w:r w:rsidRPr="0057071D">
        <w:rPr>
          <w:sz w:val="22"/>
          <w:szCs w:val="22"/>
        </w:rPr>
        <w:t>τος) το προηγούμενο έτος, και η αύξηση της μισθωτής εργασίας εντός του 2015. Για το 2016, τα στο</w:t>
      </w:r>
      <w:r w:rsidRPr="0057071D">
        <w:rPr>
          <w:sz w:val="22"/>
          <w:szCs w:val="22"/>
        </w:rPr>
        <w:t>ι</w:t>
      </w:r>
      <w:r w:rsidRPr="0057071D">
        <w:rPr>
          <w:sz w:val="22"/>
          <w:szCs w:val="22"/>
        </w:rPr>
        <w:t>χεία της έρευνας εργατικού δυναμικού για το πρώτο 7μηνο δείχνουν αύξηση της απασχόλησης (2,7</w:t>
      </w:r>
      <w:r w:rsidR="001F27FF">
        <w:rPr>
          <w:sz w:val="22"/>
          <w:szCs w:val="22"/>
        </w:rPr>
        <w:t xml:space="preserve">%) και προδιαγράφουν τη </w:t>
      </w:r>
      <w:r w:rsidRPr="0057071D">
        <w:rPr>
          <w:sz w:val="22"/>
          <w:szCs w:val="22"/>
        </w:rPr>
        <w:t>βελτίωσή της σε εθνικολογιστική βάση, με την σχετική ετήσια εκτίμηση να δ</w:t>
      </w:r>
      <w:r w:rsidRPr="0057071D">
        <w:rPr>
          <w:sz w:val="22"/>
          <w:szCs w:val="22"/>
        </w:rPr>
        <w:t>ι</w:t>
      </w:r>
      <w:r w:rsidRPr="0057071D">
        <w:rPr>
          <w:sz w:val="22"/>
          <w:szCs w:val="22"/>
        </w:rPr>
        <w:t>αμορφώνεται στο 1,0%.</w:t>
      </w:r>
    </w:p>
    <w:p w:rsidR="009666A7" w:rsidRPr="0057071D" w:rsidRDefault="009666A7" w:rsidP="009666A7">
      <w:pPr>
        <w:jc w:val="both"/>
        <w:rPr>
          <w:color w:val="7030A0"/>
          <w:sz w:val="22"/>
          <w:szCs w:val="22"/>
        </w:rPr>
      </w:pPr>
    </w:p>
    <w:p w:rsidR="009666A7" w:rsidRPr="0057071D" w:rsidRDefault="009666A7" w:rsidP="009666A7">
      <w:pPr>
        <w:jc w:val="both"/>
        <w:rPr>
          <w:sz w:val="22"/>
          <w:szCs w:val="22"/>
        </w:rPr>
      </w:pPr>
      <w:r w:rsidRPr="0057071D">
        <w:rPr>
          <w:sz w:val="22"/>
          <w:szCs w:val="22"/>
        </w:rPr>
        <w:t>Βάσει των τριμηνιαίων (μη εποχικά διορθωμένων) στοιχείων της έρευνας εργατικού δυναμικού, κατά την αρχική περίοδο της προσαρμογής η μείωση της απασχόλησης συνδέθηκε με την υποχώρηση τόσο της πλήρους απασχόλησης όσο και της μερικής απασχόλησης. Ωστόσο, από το δεύτερο τρίμηνο του 2012, παρατηρήθηκαν θετικοί ρυθμοί μεταβολής της μερικής απασχόλησης, τη στιγμή που η πλήρης απασχόληση συνέχισε να μειώνεται έως και το δεύτερο τρίμηνο του 2014. Έκτοτε, η πλήρης απασχ</w:t>
      </w:r>
      <w:r w:rsidRPr="0057071D">
        <w:rPr>
          <w:sz w:val="22"/>
          <w:szCs w:val="22"/>
        </w:rPr>
        <w:t>ό</w:t>
      </w:r>
      <w:r w:rsidRPr="0057071D">
        <w:rPr>
          <w:sz w:val="22"/>
          <w:szCs w:val="22"/>
        </w:rPr>
        <w:t>ληση παρουσιάζει βελτίωση, η οποία ενισχύθηκε από το 2</w:t>
      </w:r>
      <w:r w:rsidRPr="0057071D">
        <w:rPr>
          <w:sz w:val="22"/>
          <w:szCs w:val="22"/>
          <w:vertAlign w:val="superscript"/>
        </w:rPr>
        <w:t xml:space="preserve">ο </w:t>
      </w:r>
      <w:r w:rsidRPr="0057071D">
        <w:rPr>
          <w:sz w:val="22"/>
          <w:szCs w:val="22"/>
        </w:rPr>
        <w:t xml:space="preserve">τρίμηνο του 2015 παρά την υφεσιακή </w:t>
      </w:r>
      <w:r w:rsidRPr="0057071D">
        <w:rPr>
          <w:sz w:val="22"/>
          <w:szCs w:val="22"/>
        </w:rPr>
        <w:t>ε</w:t>
      </w:r>
      <w:r w:rsidRPr="0057071D">
        <w:rPr>
          <w:sz w:val="22"/>
          <w:szCs w:val="22"/>
        </w:rPr>
        <w:t>πίδραση του 2</w:t>
      </w:r>
      <w:r w:rsidRPr="0057071D">
        <w:rPr>
          <w:sz w:val="22"/>
          <w:szCs w:val="22"/>
          <w:vertAlign w:val="superscript"/>
        </w:rPr>
        <w:t>ου</w:t>
      </w:r>
      <w:r w:rsidRPr="0057071D">
        <w:rPr>
          <w:sz w:val="22"/>
          <w:szCs w:val="22"/>
        </w:rPr>
        <w:t xml:space="preserve"> εξαμήνου του 2015</w:t>
      </w:r>
      <w:r w:rsidRPr="0057071D">
        <w:rPr>
          <w:rStyle w:val="a9"/>
          <w:sz w:val="22"/>
          <w:szCs w:val="22"/>
        </w:rPr>
        <w:footnoteReference w:id="23"/>
      </w:r>
      <w:r w:rsidRPr="0057071D">
        <w:rPr>
          <w:sz w:val="22"/>
          <w:szCs w:val="22"/>
        </w:rPr>
        <w:t>.</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εξέλιξη της μακροχρόνιας ανεργίας είναι ενδεικτική της διαρθρωτικής φύσης του προβλήματος στην αγορά εργασίας. Μεταξύ 2010 και 2014, το ποσοστό των ανέργων που αδυνατούσαν να βρουν νέα εργασία για πάνω από ένα έτος αυξήθηκε κατά 64,9% ή 29 εκατοστιαίες μονάδες, φτάνοντας στο 73,6% του συνολικού αριθμού των ανέργων. Το 2015, το ποσοστό των μακροχρόνια ανέργων υποχ</w:t>
      </w:r>
      <w:r w:rsidRPr="0057071D">
        <w:rPr>
          <w:sz w:val="22"/>
          <w:szCs w:val="22"/>
        </w:rPr>
        <w:t>ώ</w:t>
      </w:r>
      <w:r w:rsidRPr="0057071D">
        <w:rPr>
          <w:sz w:val="22"/>
          <w:szCs w:val="22"/>
        </w:rPr>
        <w:lastRenderedPageBreak/>
        <w:t>ρησε οριακά (κατά 0,4 εκατοστιαίες μονάδες), δείχνοντας περαιτέρω τάση βελτίωσης το πρώτο 6μηνο του 2016, κατά 1,1 εκατοστιαία μονάδα σε σχέση με το αντίστοιχο 6μηνο του 2015.</w:t>
      </w:r>
    </w:p>
    <w:p w:rsidR="009666A7" w:rsidRPr="0057071D" w:rsidRDefault="009666A7" w:rsidP="009666A7">
      <w:pPr>
        <w:jc w:val="both"/>
        <w:rPr>
          <w:sz w:val="22"/>
          <w:szCs w:val="22"/>
        </w:rPr>
      </w:pPr>
    </w:p>
    <w:p w:rsidR="009666A7" w:rsidRPr="0057071D" w:rsidRDefault="009666A7" w:rsidP="009666A7">
      <w:pPr>
        <w:jc w:val="both"/>
        <w:rPr>
          <w:sz w:val="22"/>
          <w:szCs w:val="22"/>
        </w:rPr>
      </w:pPr>
      <w:r w:rsidRPr="0057071D">
        <w:rPr>
          <w:sz w:val="22"/>
          <w:szCs w:val="22"/>
        </w:rPr>
        <w:t>Η ανεργία των νέων άρχισε να βελτιώνεται για πρώτη φορά το 2014, κατά 5,6 εκατοστιαίες μονάδες έναντι του 2013, στο ωστόσο υψηλό 52,7% του νεανικού εργατικού δυναμικού (από 21,9% το 2008). Η βελτιωτική τάση διατηρήθηκε το 2015, ωστόσο επιβραδυνόμενη, με την ανεργία στους νέους να μειώνεται κατά 2,9 εκατοστιαίες μονάδες έναντι του 2014, στο 49,8%. Τα στοιχεία του πρώτου 7μήνου του 2016 υποδηλώνουν περαιτέρω βελτίωση της ανεργίας στους νέους (15-24 ετών), διαμο</w:t>
      </w:r>
      <w:r w:rsidRPr="0057071D">
        <w:rPr>
          <w:sz w:val="22"/>
          <w:szCs w:val="22"/>
        </w:rPr>
        <w:t>ρ</w:t>
      </w:r>
      <w:r w:rsidRPr="0057071D">
        <w:rPr>
          <w:sz w:val="22"/>
          <w:szCs w:val="22"/>
        </w:rPr>
        <w:t>φώνοντάς την στο 48,6% από 50,4% το αντίστοιχο 7μηνο του 2015.</w:t>
      </w:r>
    </w:p>
    <w:p w:rsidR="009666A7" w:rsidRPr="0057071D" w:rsidRDefault="009666A7" w:rsidP="004C0D32">
      <w:pPr>
        <w:jc w:val="both"/>
        <w:rPr>
          <w:rFonts w:ascii="Arial Narrow" w:hAnsi="Arial Narrow"/>
          <w:b/>
          <w:color w:val="000080"/>
          <w:sz w:val="22"/>
          <w:szCs w:val="22"/>
        </w:rPr>
      </w:pPr>
    </w:p>
    <w:p w:rsidR="004C0D32" w:rsidRPr="00944AEC" w:rsidRDefault="004C0D32" w:rsidP="004C0D32">
      <w:pPr>
        <w:jc w:val="both"/>
        <w:rPr>
          <w:rFonts w:ascii="Arial Narrow" w:hAnsi="Arial Narrow"/>
          <w:b/>
          <w:color w:val="000080"/>
        </w:rPr>
      </w:pPr>
      <w:r w:rsidRPr="00944AEC">
        <w:rPr>
          <w:rFonts w:ascii="Arial Narrow" w:hAnsi="Arial Narrow"/>
          <w:b/>
          <w:color w:val="000080"/>
        </w:rPr>
        <w:t>Νομισματικές και πιστωτικές εξελίξεις</w:t>
      </w:r>
    </w:p>
    <w:p w:rsidR="004C0D32" w:rsidRDefault="004C0D32" w:rsidP="0006551E">
      <w:pPr>
        <w:pStyle w:val="normal"/>
        <w:jc w:val="both"/>
      </w:pPr>
    </w:p>
    <w:p w:rsidR="009666A7" w:rsidRDefault="009666A7" w:rsidP="009666A7">
      <w:pPr>
        <w:jc w:val="both"/>
        <w:rPr>
          <w:sz w:val="22"/>
          <w:szCs w:val="22"/>
        </w:rPr>
      </w:pPr>
      <w:r w:rsidRPr="0057071D">
        <w:rPr>
          <w:sz w:val="22"/>
          <w:szCs w:val="22"/>
        </w:rPr>
        <w:t>Ο ετήσιος ρυθμός μεταβολής του νομισματικού μεγέθους που αποτελεί την ελληνική συμβολή στο Μ3 της ζώνης του ευρώ (εκτό</w:t>
      </w:r>
      <w:r w:rsidR="001F27FF">
        <w:rPr>
          <w:sz w:val="22"/>
          <w:szCs w:val="22"/>
        </w:rPr>
        <w:t xml:space="preserve">ς του νομίσματος σε κυκλοφορία) αφού κατέγραψε </w:t>
      </w:r>
      <w:r w:rsidRPr="0057071D">
        <w:rPr>
          <w:sz w:val="22"/>
          <w:szCs w:val="22"/>
        </w:rPr>
        <w:t>προοδευτικά αυξ</w:t>
      </w:r>
      <w:r w:rsidRPr="0057071D">
        <w:rPr>
          <w:sz w:val="22"/>
          <w:szCs w:val="22"/>
        </w:rPr>
        <w:t>α</w:t>
      </w:r>
      <w:r w:rsidRPr="0057071D">
        <w:rPr>
          <w:sz w:val="22"/>
          <w:szCs w:val="22"/>
        </w:rPr>
        <w:t>νόμενες αρνητικές τιμές το α΄ εξάμηνο του 2015 στη συνέχεια ανέκαμψε σημαντικά και μεταστράφ</w:t>
      </w:r>
      <w:r w:rsidRPr="0057071D">
        <w:rPr>
          <w:sz w:val="22"/>
          <w:szCs w:val="22"/>
        </w:rPr>
        <w:t>η</w:t>
      </w:r>
      <w:r w:rsidRPr="0057071D">
        <w:rPr>
          <w:sz w:val="22"/>
          <w:szCs w:val="22"/>
        </w:rPr>
        <w:t>κε σε θετικές τιμές (Αύγουστος του 2016: 4,4%, Δεκέμβριος 2015: -22,0%). Αναλυτικότερα, ο ετήσ</w:t>
      </w:r>
      <w:r w:rsidRPr="0057071D">
        <w:rPr>
          <w:sz w:val="22"/>
          <w:szCs w:val="22"/>
        </w:rPr>
        <w:t>ι</w:t>
      </w:r>
      <w:r w:rsidRPr="0057071D">
        <w:rPr>
          <w:sz w:val="22"/>
          <w:szCs w:val="22"/>
        </w:rPr>
        <w:t xml:space="preserve">ος ρυθμός αύξησης των καταθέσεων διάρκειας μίας ημέρας ανήλθε σε 12,2% τον Αύγουστο του 2016 από 14,9% το Δεκέμβριο του 2015, και ο ετήσιος ρυθμός μεταβολής των καταθέσεων προθεσμίας έως 2 ετών υποχώρησε σε -6,9% τον Αύγουστο του 2016 από -49,5% στο τέλος του 2015. </w:t>
      </w:r>
    </w:p>
    <w:p w:rsidR="00160E74" w:rsidRPr="0057071D" w:rsidRDefault="00160E74" w:rsidP="009666A7">
      <w:pPr>
        <w:jc w:val="both"/>
        <w:rPr>
          <w:sz w:val="22"/>
          <w:szCs w:val="22"/>
        </w:rPr>
      </w:pPr>
    </w:p>
    <w:p w:rsidR="009666A7" w:rsidRDefault="009666A7" w:rsidP="009666A7">
      <w:pPr>
        <w:jc w:val="both"/>
        <w:rPr>
          <w:sz w:val="22"/>
          <w:szCs w:val="22"/>
        </w:rPr>
      </w:pPr>
      <w:r w:rsidRPr="0057071D">
        <w:rPr>
          <w:sz w:val="22"/>
          <w:szCs w:val="22"/>
        </w:rPr>
        <w:t>Οι τραπεζικές καταθέσεις των μη χρηματοπιστωτικών επιχειρήσεων και των νοικοκυριών, εμφάνισαν διακυμάνσεις από το Δεκέμβριο του 2015 καθώς θετικές καθαρές ροές εναλλάσσονταν με αρνητικές και η συνολική ροή κατά την περίοδο Ιανουαρίου 2016-Σεπτ</w:t>
      </w:r>
      <w:r w:rsidR="00160E74">
        <w:rPr>
          <w:sz w:val="22"/>
          <w:szCs w:val="22"/>
        </w:rPr>
        <w:t>εμβρίου 2016 ανήλθε σε 0,6 δισ. ευρώ (έναντι -38,2 δισ</w:t>
      </w:r>
      <w:r w:rsidRPr="0057071D">
        <w:rPr>
          <w:sz w:val="22"/>
          <w:szCs w:val="22"/>
        </w:rPr>
        <w:t xml:space="preserve">. ευρώ την ίδια περίοδο του 2015). Μετά </w:t>
      </w:r>
      <w:r w:rsidR="000467F7">
        <w:rPr>
          <w:sz w:val="22"/>
          <w:szCs w:val="22"/>
        </w:rPr>
        <w:t xml:space="preserve">από </w:t>
      </w:r>
      <w:r w:rsidRPr="0057071D">
        <w:rPr>
          <w:sz w:val="22"/>
          <w:szCs w:val="22"/>
        </w:rPr>
        <w:t>μια πρώτη περίοδο έντονης αβεβαιότ</w:t>
      </w:r>
      <w:r w:rsidRPr="0057071D">
        <w:rPr>
          <w:sz w:val="22"/>
          <w:szCs w:val="22"/>
        </w:rPr>
        <w:t>η</w:t>
      </w:r>
      <w:r w:rsidRPr="0057071D">
        <w:rPr>
          <w:sz w:val="22"/>
          <w:szCs w:val="22"/>
        </w:rPr>
        <w:t xml:space="preserve">τας κατά τις αρχικές διαπραγματεύσεις με τους </w:t>
      </w:r>
      <w:r w:rsidR="00034212">
        <w:rPr>
          <w:sz w:val="22"/>
          <w:szCs w:val="22"/>
        </w:rPr>
        <w:t xml:space="preserve">θεσμούς </w:t>
      </w:r>
      <w:r w:rsidRPr="0057071D">
        <w:rPr>
          <w:sz w:val="22"/>
          <w:szCs w:val="22"/>
        </w:rPr>
        <w:t xml:space="preserve">το α΄ εξάμηνο του 2015 </w:t>
      </w:r>
      <w:r w:rsidR="00034212">
        <w:rPr>
          <w:sz w:val="22"/>
          <w:szCs w:val="22"/>
        </w:rPr>
        <w:t xml:space="preserve">ακολούθησε </w:t>
      </w:r>
      <w:r w:rsidRPr="0057071D">
        <w:rPr>
          <w:sz w:val="22"/>
          <w:szCs w:val="22"/>
        </w:rPr>
        <w:t>σημα</w:t>
      </w:r>
      <w:r w:rsidRPr="0057071D">
        <w:rPr>
          <w:sz w:val="22"/>
          <w:szCs w:val="22"/>
        </w:rPr>
        <w:t>ν</w:t>
      </w:r>
      <w:r w:rsidRPr="0057071D">
        <w:rPr>
          <w:sz w:val="22"/>
          <w:szCs w:val="22"/>
        </w:rPr>
        <w:t xml:space="preserve">τική συρρίκνωση των καταθέσεων, </w:t>
      </w:r>
      <w:r w:rsidR="00034212">
        <w:rPr>
          <w:sz w:val="22"/>
          <w:szCs w:val="22"/>
        </w:rPr>
        <w:t xml:space="preserve">καθώς και </w:t>
      </w:r>
      <w:r w:rsidRPr="0057071D">
        <w:rPr>
          <w:sz w:val="22"/>
          <w:szCs w:val="22"/>
        </w:rPr>
        <w:t>επιβολή περιορισμών στις αναλήψεις μετρητών και στις διασυνοριακές μεταφορές κεφαλαίων</w:t>
      </w:r>
      <w:r w:rsidR="00034212">
        <w:rPr>
          <w:sz w:val="22"/>
          <w:szCs w:val="22"/>
        </w:rPr>
        <w:t>. Η</w:t>
      </w:r>
      <w:r w:rsidR="00034212" w:rsidRPr="0057071D">
        <w:rPr>
          <w:sz w:val="22"/>
          <w:szCs w:val="22"/>
        </w:rPr>
        <w:t xml:space="preserve"> αναζωογόνηση της εμπιστοσύνης </w:t>
      </w:r>
      <w:r w:rsidR="00AC7D7B">
        <w:rPr>
          <w:sz w:val="22"/>
          <w:szCs w:val="22"/>
        </w:rPr>
        <w:t xml:space="preserve">επανήλθε </w:t>
      </w:r>
      <w:r w:rsidR="00034212" w:rsidRPr="0057071D">
        <w:rPr>
          <w:sz w:val="22"/>
          <w:szCs w:val="22"/>
        </w:rPr>
        <w:t>μετά τη σύναψη της</w:t>
      </w:r>
      <w:r w:rsidR="00034212">
        <w:rPr>
          <w:sz w:val="22"/>
          <w:szCs w:val="22"/>
        </w:rPr>
        <w:t xml:space="preserve"> </w:t>
      </w:r>
      <w:r w:rsidRPr="0057071D">
        <w:rPr>
          <w:sz w:val="22"/>
          <w:szCs w:val="22"/>
        </w:rPr>
        <w:t xml:space="preserve"> </w:t>
      </w:r>
      <w:r w:rsidR="00034212">
        <w:rPr>
          <w:sz w:val="22"/>
          <w:szCs w:val="22"/>
        </w:rPr>
        <w:t xml:space="preserve">ΣΧΔ με τους θεσμούς τον </w:t>
      </w:r>
      <w:r w:rsidR="001F27FF">
        <w:rPr>
          <w:sz w:val="22"/>
          <w:szCs w:val="22"/>
        </w:rPr>
        <w:t xml:space="preserve">Αύγουστο </w:t>
      </w:r>
      <w:r w:rsidR="00034212">
        <w:rPr>
          <w:sz w:val="22"/>
          <w:szCs w:val="22"/>
        </w:rPr>
        <w:t xml:space="preserve">του </w:t>
      </w:r>
      <w:r w:rsidRPr="0057071D">
        <w:rPr>
          <w:sz w:val="22"/>
          <w:szCs w:val="22"/>
        </w:rPr>
        <w:t xml:space="preserve">2015 και </w:t>
      </w:r>
      <w:r w:rsidR="00034212">
        <w:rPr>
          <w:sz w:val="22"/>
          <w:szCs w:val="22"/>
        </w:rPr>
        <w:t xml:space="preserve">την υπογραφή του </w:t>
      </w:r>
      <w:r w:rsidRPr="0057071D">
        <w:rPr>
          <w:sz w:val="22"/>
          <w:szCs w:val="22"/>
        </w:rPr>
        <w:t>τρίτου προγράμματος οικ</w:t>
      </w:r>
      <w:r w:rsidRPr="0057071D">
        <w:rPr>
          <w:sz w:val="22"/>
          <w:szCs w:val="22"/>
        </w:rPr>
        <w:t>ο</w:t>
      </w:r>
      <w:r w:rsidRPr="0057071D">
        <w:rPr>
          <w:sz w:val="22"/>
          <w:szCs w:val="22"/>
        </w:rPr>
        <w:t xml:space="preserve">νομικής προσαρμογής </w:t>
      </w:r>
      <w:r w:rsidR="00AC7D7B">
        <w:rPr>
          <w:sz w:val="22"/>
          <w:szCs w:val="22"/>
        </w:rPr>
        <w:t xml:space="preserve">με αποτέλεσμα τη </w:t>
      </w:r>
      <w:r w:rsidRPr="0057071D">
        <w:rPr>
          <w:sz w:val="22"/>
          <w:szCs w:val="22"/>
        </w:rPr>
        <w:t>συγκράτησ</w:t>
      </w:r>
      <w:r w:rsidR="00AC7D7B">
        <w:rPr>
          <w:sz w:val="22"/>
          <w:szCs w:val="22"/>
        </w:rPr>
        <w:t>η</w:t>
      </w:r>
      <w:r w:rsidRPr="0057071D">
        <w:rPr>
          <w:sz w:val="22"/>
          <w:szCs w:val="22"/>
        </w:rPr>
        <w:t xml:space="preserve"> τη</w:t>
      </w:r>
      <w:r w:rsidR="00AC7D7B">
        <w:rPr>
          <w:sz w:val="22"/>
          <w:szCs w:val="22"/>
        </w:rPr>
        <w:t>ς</w:t>
      </w:r>
      <w:r w:rsidRPr="0057071D">
        <w:rPr>
          <w:sz w:val="22"/>
          <w:szCs w:val="22"/>
        </w:rPr>
        <w:t xml:space="preserve"> υποχώρηση</w:t>
      </w:r>
      <w:r w:rsidR="00AC7D7B">
        <w:rPr>
          <w:sz w:val="22"/>
          <w:szCs w:val="22"/>
        </w:rPr>
        <w:t>ς</w:t>
      </w:r>
      <w:r w:rsidRPr="0057071D">
        <w:rPr>
          <w:sz w:val="22"/>
          <w:szCs w:val="22"/>
        </w:rPr>
        <w:t xml:space="preserve"> των καταθέσεων. Η εμπιστ</w:t>
      </w:r>
      <w:r w:rsidRPr="0057071D">
        <w:rPr>
          <w:sz w:val="22"/>
          <w:szCs w:val="22"/>
        </w:rPr>
        <w:t>ο</w:t>
      </w:r>
      <w:r w:rsidRPr="0057071D">
        <w:rPr>
          <w:sz w:val="22"/>
          <w:szCs w:val="22"/>
        </w:rPr>
        <w:t>σύνη των καταθετών στις προοπτικές της ελληνικής οικονομίας και στο τραπεζικό σύστημα βελτι</w:t>
      </w:r>
      <w:r w:rsidRPr="0057071D">
        <w:rPr>
          <w:sz w:val="22"/>
          <w:szCs w:val="22"/>
        </w:rPr>
        <w:t>ώ</w:t>
      </w:r>
      <w:r w:rsidRPr="0057071D">
        <w:rPr>
          <w:sz w:val="22"/>
          <w:szCs w:val="22"/>
        </w:rPr>
        <w:t>θηκε προοδευτικά στη συνέχεια με την ανακεφαλαιοποίηση των τραπεζών το Δεκέμβριο του 2015 και την ολοκλήρωση της πρώτης αξιολόγησης τον Ιούνιο του 2016. Η επικείμενη ολοκλήρωση της δεύτ</w:t>
      </w:r>
      <w:r w:rsidRPr="0057071D">
        <w:rPr>
          <w:sz w:val="22"/>
          <w:szCs w:val="22"/>
        </w:rPr>
        <w:t>ε</w:t>
      </w:r>
      <w:r w:rsidRPr="0057071D">
        <w:rPr>
          <w:sz w:val="22"/>
          <w:szCs w:val="22"/>
        </w:rPr>
        <w:t>ρης αξιολόγησης του προγράμματος, η σταδιακή χαλάρωση των περιορισμών κεφαλαίων και η αντ</w:t>
      </w:r>
      <w:r w:rsidRPr="0057071D">
        <w:rPr>
          <w:sz w:val="22"/>
          <w:szCs w:val="22"/>
        </w:rPr>
        <w:t>ι</w:t>
      </w:r>
      <w:r w:rsidRPr="0057071D">
        <w:rPr>
          <w:sz w:val="22"/>
          <w:szCs w:val="22"/>
        </w:rPr>
        <w:t>μετώπιση των μη εξυπηρετούμενων ανοιγμ</w:t>
      </w:r>
      <w:r w:rsidR="001F27FF">
        <w:rPr>
          <w:sz w:val="22"/>
          <w:szCs w:val="22"/>
        </w:rPr>
        <w:t xml:space="preserve">άτων του τραπεζικού συστήματος </w:t>
      </w:r>
      <w:r w:rsidRPr="0057071D">
        <w:rPr>
          <w:sz w:val="22"/>
          <w:szCs w:val="22"/>
        </w:rPr>
        <w:t>αναμένεται ότι θα συ</w:t>
      </w:r>
      <w:r w:rsidRPr="0057071D">
        <w:rPr>
          <w:sz w:val="22"/>
          <w:szCs w:val="22"/>
        </w:rPr>
        <w:t>ν</w:t>
      </w:r>
      <w:r w:rsidRPr="0057071D">
        <w:rPr>
          <w:sz w:val="22"/>
          <w:szCs w:val="22"/>
        </w:rPr>
        <w:t>τελέσουν σε μεγαλύτερη ανάκαμψη των καταθέσεων με την επιστροφή αποθησαυρισμένων τραπ</w:t>
      </w:r>
      <w:r w:rsidRPr="0057071D">
        <w:rPr>
          <w:sz w:val="22"/>
          <w:szCs w:val="22"/>
        </w:rPr>
        <w:t>ε</w:t>
      </w:r>
      <w:r w:rsidRPr="0057071D">
        <w:rPr>
          <w:sz w:val="22"/>
          <w:szCs w:val="22"/>
        </w:rPr>
        <w:t>ζογραμματίων και κεφαλαίων από το εξωτερικό.</w:t>
      </w:r>
    </w:p>
    <w:p w:rsidR="00160E74" w:rsidRPr="0057071D" w:rsidRDefault="00160E74" w:rsidP="009666A7">
      <w:pPr>
        <w:jc w:val="both"/>
        <w:rPr>
          <w:sz w:val="22"/>
          <w:szCs w:val="22"/>
        </w:rPr>
      </w:pPr>
    </w:p>
    <w:p w:rsidR="009666A7" w:rsidRDefault="009666A7" w:rsidP="009666A7">
      <w:pPr>
        <w:jc w:val="both"/>
        <w:rPr>
          <w:sz w:val="22"/>
          <w:szCs w:val="22"/>
        </w:rPr>
      </w:pPr>
      <w:r w:rsidRPr="0057071D">
        <w:rPr>
          <w:sz w:val="22"/>
          <w:szCs w:val="22"/>
        </w:rPr>
        <w:t>Ο ετήσιος ρυθμός μεταβολής του υπολοίπου της χρη</w:t>
      </w:r>
      <w:r w:rsidR="00160E74">
        <w:rPr>
          <w:sz w:val="22"/>
          <w:szCs w:val="22"/>
        </w:rPr>
        <w:t>ματοδότησης προς τον τομέα της Γ</w:t>
      </w:r>
      <w:r w:rsidRPr="0057071D">
        <w:rPr>
          <w:sz w:val="22"/>
          <w:szCs w:val="22"/>
        </w:rPr>
        <w:t xml:space="preserve">ενικής </w:t>
      </w:r>
      <w:r w:rsidR="00160E74">
        <w:rPr>
          <w:sz w:val="22"/>
          <w:szCs w:val="22"/>
        </w:rPr>
        <w:t>Κ</w:t>
      </w:r>
      <w:r w:rsidRPr="0057071D">
        <w:rPr>
          <w:sz w:val="22"/>
          <w:szCs w:val="22"/>
        </w:rPr>
        <w:t>υβέ</w:t>
      </w:r>
      <w:r w:rsidRPr="0057071D">
        <w:rPr>
          <w:sz w:val="22"/>
          <w:szCs w:val="22"/>
        </w:rPr>
        <w:t>ρ</w:t>
      </w:r>
      <w:r w:rsidRPr="0057071D">
        <w:rPr>
          <w:sz w:val="22"/>
          <w:szCs w:val="22"/>
        </w:rPr>
        <w:t>νησης από το εγχώριο τραπεζικό σύστημα συμπεριλαμβανομένης της Τραπέζης της Ελλάδος αφού επανήλθε σε θετικές τιμές το 2015, την περίοδο Δεκεμβρίου 2015-Σεπτεμβρίου 2016 εμφάνισε συν</w:t>
      </w:r>
      <w:r w:rsidRPr="0057071D">
        <w:rPr>
          <w:sz w:val="22"/>
          <w:szCs w:val="22"/>
        </w:rPr>
        <w:t>ε</w:t>
      </w:r>
      <w:r w:rsidRPr="0057071D">
        <w:rPr>
          <w:sz w:val="22"/>
          <w:szCs w:val="22"/>
        </w:rPr>
        <w:t>χόμενα αρνητικές μονοψήφιες τιμές, με διακυμάνσεις. Ειδικότερα, ο ρυθμός αυτός διαμορφώθηκε σε -3,3% το Σεπτέμβριο του 2016 από -5,3% το</w:t>
      </w:r>
      <w:r w:rsidRPr="0057071D" w:rsidDel="00C2235C">
        <w:rPr>
          <w:sz w:val="22"/>
          <w:szCs w:val="22"/>
        </w:rPr>
        <w:t xml:space="preserve"> </w:t>
      </w:r>
      <w:r w:rsidRPr="0057071D">
        <w:rPr>
          <w:sz w:val="22"/>
          <w:szCs w:val="22"/>
        </w:rPr>
        <w:t>Δεκέμβριο του 2015.</w:t>
      </w:r>
      <w:r w:rsidRPr="0057071D" w:rsidDel="00211F74">
        <w:rPr>
          <w:sz w:val="22"/>
          <w:szCs w:val="22"/>
        </w:rPr>
        <w:t xml:space="preserve"> </w:t>
      </w:r>
      <w:r w:rsidRPr="0057071D">
        <w:rPr>
          <w:sz w:val="22"/>
          <w:szCs w:val="22"/>
        </w:rPr>
        <w:t>Η διαμόρφωση του εν λόγω ρυ</w:t>
      </w:r>
      <w:r w:rsidRPr="0057071D">
        <w:rPr>
          <w:sz w:val="22"/>
          <w:szCs w:val="22"/>
        </w:rPr>
        <w:t>θ</w:t>
      </w:r>
      <w:r w:rsidRPr="0057071D">
        <w:rPr>
          <w:sz w:val="22"/>
          <w:szCs w:val="22"/>
        </w:rPr>
        <w:t>μού σε αρνητικές τιμές την περίοδο υπό επισκόπηση αντανακλά τη μικρή μείωση της αξίας του χα</w:t>
      </w:r>
      <w:r w:rsidRPr="0057071D">
        <w:rPr>
          <w:sz w:val="22"/>
          <w:szCs w:val="22"/>
        </w:rPr>
        <w:t>ρ</w:t>
      </w:r>
      <w:r w:rsidRPr="0057071D">
        <w:rPr>
          <w:sz w:val="22"/>
          <w:szCs w:val="22"/>
        </w:rPr>
        <w:t xml:space="preserve">τοφυλακίου των τραπεζών σε τίτλους ελληνικού Δημοσίου και τους αρνητικούς, ως επί το πλείστον, ετήσιους ρυθμούς μεταβολής των δανείων των τραπεζών προς τη </w:t>
      </w:r>
      <w:r w:rsidR="00160E74">
        <w:rPr>
          <w:sz w:val="22"/>
          <w:szCs w:val="22"/>
        </w:rPr>
        <w:t>Γ</w:t>
      </w:r>
      <w:r w:rsidRPr="0057071D">
        <w:rPr>
          <w:sz w:val="22"/>
          <w:szCs w:val="22"/>
        </w:rPr>
        <w:t xml:space="preserve">ενική </w:t>
      </w:r>
      <w:r w:rsidR="00160E74">
        <w:rPr>
          <w:sz w:val="22"/>
          <w:szCs w:val="22"/>
        </w:rPr>
        <w:t>Κ</w:t>
      </w:r>
      <w:r w:rsidRPr="0057071D">
        <w:rPr>
          <w:sz w:val="22"/>
          <w:szCs w:val="22"/>
        </w:rPr>
        <w:t>υβέρνηση.</w:t>
      </w:r>
      <w:r w:rsidRPr="0057071D" w:rsidDel="00E560C7">
        <w:rPr>
          <w:sz w:val="22"/>
          <w:szCs w:val="22"/>
        </w:rPr>
        <w:t xml:space="preserve"> </w:t>
      </w:r>
    </w:p>
    <w:p w:rsidR="00160E74" w:rsidRPr="0057071D" w:rsidRDefault="00160E74" w:rsidP="009666A7">
      <w:pPr>
        <w:jc w:val="both"/>
        <w:rPr>
          <w:sz w:val="22"/>
          <w:szCs w:val="22"/>
        </w:rPr>
      </w:pPr>
    </w:p>
    <w:p w:rsidR="009666A7" w:rsidRPr="00B32A67" w:rsidRDefault="009666A7" w:rsidP="009666A7">
      <w:pPr>
        <w:jc w:val="both"/>
        <w:rPr>
          <w:sz w:val="22"/>
          <w:szCs w:val="22"/>
        </w:rPr>
      </w:pPr>
      <w:r w:rsidRPr="0057071D">
        <w:rPr>
          <w:sz w:val="22"/>
          <w:szCs w:val="22"/>
        </w:rPr>
        <w:t>Όσον αφορά την τραπεζική χρηματοδότηση του ιδιωτικού μη χρηματοπιστωτικού τομέα της οικον</w:t>
      </w:r>
      <w:r w:rsidRPr="0057071D">
        <w:rPr>
          <w:sz w:val="22"/>
          <w:szCs w:val="22"/>
        </w:rPr>
        <w:t>ο</w:t>
      </w:r>
      <w:r w:rsidRPr="0057071D">
        <w:rPr>
          <w:sz w:val="22"/>
          <w:szCs w:val="22"/>
        </w:rPr>
        <w:t>μίας, ο ετήσιος ρυθμός μείωσης των τραπεζικών πιστώσεων προς τα νοικοκυριά (ιδιώτες-ιδιωτικά μη κερδοσκοπικά ιδρύματα) κατά τους πρώτους εννέα μήνες του έτους παρέμεινε σχεδόν αμετάβλητος και διαμορφώθηκε σε -3,0% το Σεπτέμβριο του 2016 έναντι -3,1% το Δεκέμβριο του 2015. Ο ετήσιος ρυθμός μείωσης των τραπεζικών πιστώσεων προς τις μη χρηματοπιστωτικές επιχειρήσεις αφού εμφ</w:t>
      </w:r>
      <w:r w:rsidRPr="0057071D">
        <w:rPr>
          <w:sz w:val="22"/>
          <w:szCs w:val="22"/>
        </w:rPr>
        <w:t>ά</w:t>
      </w:r>
      <w:r w:rsidRPr="0057071D">
        <w:rPr>
          <w:sz w:val="22"/>
          <w:szCs w:val="22"/>
        </w:rPr>
        <w:t>νισε διακυμάνσεις μετά την επιβολή των περιορισμών στη μεταφορά κεφαλαίων, τους πρώτους εννέα μήνες του έτους περιορίστηκε και διαμορφώθηκε σε -0,2% τον Σεπτέμβριο του 2016 έναντι -1,2%</w:t>
      </w:r>
      <w:r w:rsidRPr="0057071D" w:rsidDel="008A5B60">
        <w:rPr>
          <w:sz w:val="22"/>
          <w:szCs w:val="22"/>
        </w:rPr>
        <w:t xml:space="preserve"> </w:t>
      </w:r>
      <w:r w:rsidRPr="0057071D">
        <w:rPr>
          <w:sz w:val="22"/>
          <w:szCs w:val="22"/>
        </w:rPr>
        <w:t>το Δεκέμβριο του 2015. Ο περιορισμός του ρυθμού μείωσης της τραπεζικής χρηματοδότησης προς τις μη χρηματοπιστωτικές επιχειρήσεις, από την πλευρά της ζήτησης, παρά την αρνητική επίδραση της οικ</w:t>
      </w:r>
      <w:r w:rsidRPr="0057071D">
        <w:rPr>
          <w:sz w:val="22"/>
          <w:szCs w:val="22"/>
        </w:rPr>
        <w:t>ο</w:t>
      </w:r>
      <w:r w:rsidRPr="0057071D">
        <w:rPr>
          <w:sz w:val="22"/>
          <w:szCs w:val="22"/>
        </w:rPr>
        <w:lastRenderedPageBreak/>
        <w:t>νομικής επιβράδυνσης το α΄ εξάμηνο του 2016 είναι πιθανόν να στηρίχθηκε στην εξομάλυνση των συνθηκών αβεβαιότητας. Από την πλευρά της προσφοράς, η πρόσφατη μετάβαση του ρυθμού συρρί</w:t>
      </w:r>
      <w:r w:rsidRPr="0057071D">
        <w:rPr>
          <w:sz w:val="22"/>
          <w:szCs w:val="22"/>
        </w:rPr>
        <w:t>κ</w:t>
      </w:r>
      <w:r w:rsidRPr="0057071D">
        <w:rPr>
          <w:sz w:val="22"/>
          <w:szCs w:val="22"/>
        </w:rPr>
        <w:t>νωσης της χρηματοδότησης σε μηδέν είναι συνεπής, πέρα από την ευνοϊκή και για τις τράπεζες βε</w:t>
      </w:r>
      <w:r w:rsidRPr="0057071D">
        <w:rPr>
          <w:sz w:val="22"/>
          <w:szCs w:val="22"/>
        </w:rPr>
        <w:t>λ</w:t>
      </w:r>
      <w:r w:rsidRPr="0057071D">
        <w:rPr>
          <w:sz w:val="22"/>
          <w:szCs w:val="22"/>
        </w:rPr>
        <w:t>τίωση του κλίματος αβεβαιότητας, και με την ενίσχυση των κεφαλαίων των τραπεζών μετά την αν</w:t>
      </w:r>
      <w:r w:rsidRPr="0057071D">
        <w:rPr>
          <w:sz w:val="22"/>
          <w:szCs w:val="22"/>
        </w:rPr>
        <w:t>α</w:t>
      </w:r>
      <w:r w:rsidRPr="0057071D">
        <w:rPr>
          <w:sz w:val="22"/>
          <w:szCs w:val="22"/>
        </w:rPr>
        <w:t>κεφαλαιοποίηση του Δεκεμβρίου του 2015, καθώς και με τις ευνοϊκότερες συνθήκες άντλησης πόρων προς αναδανεισμό από τη συμμετοχή τους στη διασυνοριακή διατραπεζική αγορά, στις στοχευμένες πράξεις πιο μακροπρόθεσμης αναχρηματοδότησης της ΕΚΤ καθώς και την πρόσβασή τους σε έκτα</w:t>
      </w:r>
      <w:r w:rsidRPr="0057071D">
        <w:rPr>
          <w:sz w:val="22"/>
          <w:szCs w:val="22"/>
        </w:rPr>
        <w:t>κ</w:t>
      </w:r>
      <w:r w:rsidRPr="0057071D">
        <w:rPr>
          <w:sz w:val="22"/>
          <w:szCs w:val="22"/>
        </w:rPr>
        <w:t>τη χρηματοδότηση. Σημαντικός παράγοντας ανασχετικός στην παροχή πιστώσεων παρέμεινε το υψ</w:t>
      </w:r>
      <w:r w:rsidRPr="0057071D">
        <w:rPr>
          <w:sz w:val="22"/>
          <w:szCs w:val="22"/>
        </w:rPr>
        <w:t>η</w:t>
      </w:r>
      <w:r w:rsidRPr="0057071D">
        <w:rPr>
          <w:sz w:val="22"/>
          <w:szCs w:val="22"/>
        </w:rPr>
        <w:t xml:space="preserve">λό απόθεμα των μη εξυπηρετούμενων ανοιγμάτων. </w:t>
      </w:r>
    </w:p>
    <w:p w:rsidR="008C3DED" w:rsidRPr="00B32A67" w:rsidRDefault="008C3DED" w:rsidP="009666A7">
      <w:pPr>
        <w:jc w:val="both"/>
        <w:rPr>
          <w:sz w:val="22"/>
          <w:szCs w:val="22"/>
        </w:rPr>
      </w:pPr>
    </w:p>
    <w:p w:rsidR="009666A7" w:rsidRPr="00B32A67" w:rsidRDefault="009666A7" w:rsidP="009666A7">
      <w:pPr>
        <w:jc w:val="both"/>
        <w:rPr>
          <w:sz w:val="22"/>
          <w:szCs w:val="22"/>
        </w:rPr>
      </w:pPr>
      <w:r w:rsidRPr="0057071D">
        <w:rPr>
          <w:sz w:val="22"/>
          <w:szCs w:val="22"/>
        </w:rPr>
        <w:t>Τα επιτόκια των νέων τραπεζικών καταθέσεων στην Ελλάδα, ακολούθησαν καθοδική πορεία από τα μέσα του 2012, η οποία αφού διακόπηκε το α΄ εξάμηνο του 2015 λόγω των εκροών καταθέσεων σ</w:t>
      </w:r>
      <w:r w:rsidRPr="0057071D">
        <w:rPr>
          <w:sz w:val="22"/>
          <w:szCs w:val="22"/>
        </w:rPr>
        <w:t>υ</w:t>
      </w:r>
      <w:r w:rsidRPr="0057071D">
        <w:rPr>
          <w:sz w:val="22"/>
          <w:szCs w:val="22"/>
        </w:rPr>
        <w:t>νεχίστηκε εκ νέου μετά την απότομη αποκλιμάκωσή τους τον Ιούλιο του 2015 κατόπιν της επιβολής των περιορισμών στις αναλήψεις από τραπεζικές καταθέσεις. Το οκτάμηνο Ιανουαρίου-Αυγούστου 2016 τα επιτόκια των καταθέσεων κατέγραψαν ήπιες περαιτέρω μειώσεις. Ειδικότερα, το επιτόκιο στη σημαντικότερη κατηγορία καταθέσεων, δηλ. εκείνων με συμφωνημένη διάρκεια έως 1 έτος από τα ν</w:t>
      </w:r>
      <w:r w:rsidRPr="0057071D">
        <w:rPr>
          <w:sz w:val="22"/>
          <w:szCs w:val="22"/>
        </w:rPr>
        <w:t>ο</w:t>
      </w:r>
      <w:r w:rsidRPr="0057071D">
        <w:rPr>
          <w:sz w:val="22"/>
          <w:szCs w:val="22"/>
        </w:rPr>
        <w:t>ικοκυριά, κατέγραψε συνολικά μείωση στη διάρκεια της εξεταζόμενης περιόδου κατά 15 μονάδες β</w:t>
      </w:r>
      <w:r w:rsidRPr="0057071D">
        <w:rPr>
          <w:sz w:val="22"/>
          <w:szCs w:val="22"/>
        </w:rPr>
        <w:t>ά</w:t>
      </w:r>
      <w:r w:rsidRPr="0057071D">
        <w:rPr>
          <w:sz w:val="22"/>
          <w:szCs w:val="22"/>
        </w:rPr>
        <w:t xml:space="preserve">σης και τον Αύγουστο του 2016 διαμορφώθηκε σε 0,87%. </w:t>
      </w:r>
    </w:p>
    <w:p w:rsidR="008C3DED" w:rsidRPr="00B32A67" w:rsidRDefault="008C3DED" w:rsidP="009666A7">
      <w:pPr>
        <w:jc w:val="both"/>
        <w:rPr>
          <w:sz w:val="22"/>
          <w:szCs w:val="22"/>
        </w:rPr>
      </w:pPr>
    </w:p>
    <w:p w:rsidR="008C3DED" w:rsidRPr="00B32A67" w:rsidRDefault="009666A7" w:rsidP="009666A7">
      <w:pPr>
        <w:jc w:val="both"/>
        <w:rPr>
          <w:sz w:val="22"/>
          <w:szCs w:val="22"/>
        </w:rPr>
      </w:pPr>
      <w:r w:rsidRPr="0057071D">
        <w:rPr>
          <w:sz w:val="22"/>
          <w:szCs w:val="22"/>
        </w:rPr>
        <w:t xml:space="preserve">Τα επιτόκια των νέων τραπεζικών δανείων αφού κατά μέσο όρο κατέγραψαν άνοδο τους μήνες μετά την επιβολή περιορισμών κεφαλαίων μέχρι το τέλος του 2015, στη συνέχεια άρχισαν να μειώνονται. </w:t>
      </w:r>
    </w:p>
    <w:p w:rsidR="008C3DED" w:rsidRPr="00B32A67" w:rsidRDefault="008C3DED" w:rsidP="009666A7">
      <w:pPr>
        <w:jc w:val="both"/>
        <w:rPr>
          <w:sz w:val="22"/>
          <w:szCs w:val="22"/>
        </w:rPr>
      </w:pPr>
    </w:p>
    <w:p w:rsidR="009666A7" w:rsidRPr="0057071D" w:rsidRDefault="009666A7" w:rsidP="009666A7">
      <w:pPr>
        <w:jc w:val="both"/>
        <w:rPr>
          <w:sz w:val="22"/>
          <w:szCs w:val="22"/>
        </w:rPr>
      </w:pPr>
      <w:r w:rsidRPr="0057071D">
        <w:rPr>
          <w:sz w:val="22"/>
          <w:szCs w:val="22"/>
        </w:rPr>
        <w:t>Στην αρχική εξέλιξη των επιτοκίων ενδέχεται να συνέβαλε η εκτίμηση αμέσως μετά την επιβολή των περιορισμών, εκ μέρους των τραπεζών, ανόδου του πιστωτικού κινδύνου, η οποία μετά αναθεωρήθ</w:t>
      </w:r>
      <w:r w:rsidRPr="0057071D">
        <w:rPr>
          <w:sz w:val="22"/>
          <w:szCs w:val="22"/>
        </w:rPr>
        <w:t>η</w:t>
      </w:r>
      <w:r w:rsidRPr="0057071D">
        <w:rPr>
          <w:sz w:val="22"/>
          <w:szCs w:val="22"/>
        </w:rPr>
        <w:t>κε προς ευνοϊκότερη κατεύθυνση.  Αναλυτικότερα, το οκτάμηνο Ιανουαρίου-Αυγούστου 2016 το μ</w:t>
      </w:r>
      <w:r w:rsidRPr="0057071D">
        <w:rPr>
          <w:sz w:val="22"/>
          <w:szCs w:val="22"/>
        </w:rPr>
        <w:t>έ</w:t>
      </w:r>
      <w:r w:rsidRPr="0057071D">
        <w:rPr>
          <w:sz w:val="22"/>
          <w:szCs w:val="22"/>
        </w:rPr>
        <w:t>σο επιτόκιο των δανείων προς τις μη χρηματοπιστωτικές επιχειρήσεις μειώθηκε κατά 27 μονάδες β</w:t>
      </w:r>
      <w:r w:rsidRPr="0057071D">
        <w:rPr>
          <w:sz w:val="22"/>
          <w:szCs w:val="22"/>
        </w:rPr>
        <w:t>ά</w:t>
      </w:r>
      <w:r w:rsidRPr="0057071D">
        <w:rPr>
          <w:sz w:val="22"/>
          <w:szCs w:val="22"/>
        </w:rPr>
        <w:t xml:space="preserve">σης και διαμορφώθηκε σε 5,04% τον Αύγουστο του 2016, ενώ το αντίστοιχο επιτόκιο των δανείων προς τα νοικοκυριά αυξήθηκε κατά 11 μονάδες βάσης σε 4,78%. Τα </w:t>
      </w:r>
      <w:r w:rsidRPr="0057071D">
        <w:rPr>
          <w:sz w:val="22"/>
          <w:szCs w:val="22"/>
          <w:lang w:val="en-US"/>
        </w:rPr>
        <w:t>ex</w:t>
      </w:r>
      <w:r w:rsidRPr="0057071D">
        <w:rPr>
          <w:sz w:val="22"/>
          <w:szCs w:val="22"/>
        </w:rPr>
        <w:t xml:space="preserve"> </w:t>
      </w:r>
      <w:r w:rsidRPr="0057071D">
        <w:rPr>
          <w:sz w:val="22"/>
          <w:szCs w:val="22"/>
          <w:lang w:val="en-US"/>
        </w:rPr>
        <w:t>post</w:t>
      </w:r>
      <w:r w:rsidRPr="0057071D">
        <w:rPr>
          <w:sz w:val="22"/>
          <w:szCs w:val="22"/>
        </w:rPr>
        <w:t xml:space="preserve"> πραγματικά επιτόκια των τραπεζικών δανείων, αφού κατέγραψαν σημαντική μείωση λόγω της επιβράδυνσης του ρυθμού υπ</w:t>
      </w:r>
      <w:r w:rsidRPr="0057071D">
        <w:rPr>
          <w:sz w:val="22"/>
          <w:szCs w:val="22"/>
        </w:rPr>
        <w:t>ο</w:t>
      </w:r>
      <w:r w:rsidRPr="0057071D">
        <w:rPr>
          <w:sz w:val="22"/>
          <w:szCs w:val="22"/>
        </w:rPr>
        <w:t>χώρησης των τιμών, το εξεταζόμενο διάστημα κατά μέσο όρο εμφάνισαν μικρή άνοδο. Αναλυτικότ</w:t>
      </w:r>
      <w:r w:rsidRPr="0057071D">
        <w:rPr>
          <w:sz w:val="22"/>
          <w:szCs w:val="22"/>
        </w:rPr>
        <w:t>ε</w:t>
      </w:r>
      <w:r w:rsidRPr="0057071D">
        <w:rPr>
          <w:sz w:val="22"/>
          <w:szCs w:val="22"/>
        </w:rPr>
        <w:t>ρα, το μεν πραγματικό επιτόκιο των δανείων προς μη χρηματοπιστωτικές επιχειρήσεις υποχώρησε κ</w:t>
      </w:r>
      <w:r w:rsidRPr="0057071D">
        <w:rPr>
          <w:sz w:val="22"/>
          <w:szCs w:val="22"/>
        </w:rPr>
        <w:t>α</w:t>
      </w:r>
      <w:r w:rsidRPr="0057071D">
        <w:rPr>
          <w:sz w:val="22"/>
          <w:szCs w:val="22"/>
        </w:rPr>
        <w:t>τά 31 μονάδες βάσης σε 4,61% τον Αύγουστο του 2016</w:t>
      </w:r>
      <w:r w:rsidR="001F27FF">
        <w:rPr>
          <w:sz w:val="22"/>
          <w:szCs w:val="22"/>
        </w:rPr>
        <w:t>,</w:t>
      </w:r>
      <w:r w:rsidRPr="0057071D">
        <w:rPr>
          <w:sz w:val="22"/>
          <w:szCs w:val="22"/>
        </w:rPr>
        <w:t xml:space="preserve"> ενώ το αντίστοιχο επιτόκιο των δανείων προς τα νοικοκυριά αυξήθηκε κατά 7 μονάδες βάσης σε 4,35%.</w:t>
      </w:r>
    </w:p>
    <w:p w:rsidR="009666A7" w:rsidRPr="006E44AA" w:rsidRDefault="009666A7" w:rsidP="004C0D32">
      <w:pPr>
        <w:jc w:val="both"/>
        <w:rPr>
          <w:sz w:val="22"/>
          <w:szCs w:val="22"/>
        </w:rPr>
      </w:pPr>
    </w:p>
    <w:p w:rsidR="004C0D32" w:rsidRDefault="004C0D32" w:rsidP="004C0D32">
      <w:pPr>
        <w:pStyle w:val="2"/>
        <w:spacing w:before="0" w:after="0"/>
        <w:jc w:val="both"/>
        <w:rPr>
          <w:rFonts w:ascii="Arial Narrow" w:hAnsi="Arial Narrow"/>
          <w:i w:val="0"/>
          <w:color w:val="000080"/>
          <w:sz w:val="24"/>
          <w:szCs w:val="24"/>
        </w:rPr>
      </w:pPr>
      <w:r w:rsidRPr="00DD79C0">
        <w:rPr>
          <w:rFonts w:ascii="Arial Narrow" w:hAnsi="Arial Narrow"/>
          <w:i w:val="0"/>
          <w:color w:val="000080"/>
          <w:sz w:val="24"/>
          <w:szCs w:val="24"/>
        </w:rPr>
        <w:t>Ισοζύγιο τρεχουσών συναλλαγών</w:t>
      </w:r>
      <w:r>
        <w:rPr>
          <w:rStyle w:val="a9"/>
          <w:rFonts w:ascii="Arial Narrow" w:hAnsi="Arial Narrow"/>
          <w:i w:val="0"/>
          <w:color w:val="000080"/>
          <w:sz w:val="24"/>
          <w:szCs w:val="24"/>
        </w:rPr>
        <w:footnoteReference w:id="24"/>
      </w:r>
    </w:p>
    <w:p w:rsidR="004C0D32" w:rsidRPr="00B32A67" w:rsidRDefault="004C0D32" w:rsidP="009666A7">
      <w:pPr>
        <w:jc w:val="both"/>
        <w:rPr>
          <w:sz w:val="22"/>
          <w:szCs w:val="22"/>
        </w:rPr>
      </w:pPr>
    </w:p>
    <w:p w:rsidR="005B754E" w:rsidRPr="00B32A67" w:rsidRDefault="005B754E" w:rsidP="005B754E">
      <w:pPr>
        <w:jc w:val="both"/>
        <w:rPr>
          <w:sz w:val="22"/>
          <w:szCs w:val="22"/>
        </w:rPr>
      </w:pPr>
      <w:r w:rsidRPr="005B754E">
        <w:rPr>
          <w:sz w:val="22"/>
          <w:szCs w:val="22"/>
        </w:rPr>
        <w:t>Το ισοζύγιο τρεχουσών συναλλαγών, την περίοδο Ιανουαρίου-</w:t>
      </w:r>
      <w:r w:rsidR="003840F1">
        <w:rPr>
          <w:sz w:val="22"/>
          <w:szCs w:val="22"/>
        </w:rPr>
        <w:t xml:space="preserve">Σεπτεμβρίου </w:t>
      </w:r>
      <w:r w:rsidRPr="005B754E">
        <w:rPr>
          <w:sz w:val="22"/>
          <w:szCs w:val="22"/>
        </w:rPr>
        <w:t>του 2016 παρουσίασε πλεόνασμα 430 εκατ. ευρώ, κατά 560 εκατ. ευρώ μικρότερο από εκείνο της ίδιας περιόδου του 2015. Η εξέλιξη αυτή οφείλεται στη βελτίωση των ισοζυγίων των πρωτογενών και δευτερογενών εισοδημ</w:t>
      </w:r>
      <w:r w:rsidRPr="005B754E">
        <w:rPr>
          <w:sz w:val="22"/>
          <w:szCs w:val="22"/>
        </w:rPr>
        <w:t>ά</w:t>
      </w:r>
      <w:r w:rsidRPr="005B754E">
        <w:rPr>
          <w:sz w:val="22"/>
          <w:szCs w:val="22"/>
        </w:rPr>
        <w:t>των. Την ίδια περίοδο το συνολικό ισοζύγιο αγαθών και υπηρεσιών παρουσίασε επιδείνωση</w:t>
      </w:r>
      <w:r w:rsidR="001F27FF">
        <w:rPr>
          <w:sz w:val="22"/>
          <w:szCs w:val="22"/>
        </w:rPr>
        <w:t>,</w:t>
      </w:r>
      <w:r w:rsidRPr="005B754E">
        <w:rPr>
          <w:sz w:val="22"/>
          <w:szCs w:val="22"/>
        </w:rPr>
        <w:t xml:space="preserve"> καθώς οι εξαγωγές αγαθών και υπηρεσιών σε τρέχουσες τιμές περιορίστηκαν κατά 12,0%, ενώ οι αντίστοιχες εισαγωγές μειώθηκαν με βραδύτερο ρυθμό, κατά 8,9%. Ειδικότερα, το πλεόνασμα του ισοζυγίου </w:t>
      </w:r>
      <w:r w:rsidRPr="005B754E">
        <w:rPr>
          <w:sz w:val="22"/>
          <w:szCs w:val="22"/>
        </w:rPr>
        <w:t>υ</w:t>
      </w:r>
      <w:r w:rsidRPr="005B754E">
        <w:rPr>
          <w:sz w:val="22"/>
          <w:szCs w:val="22"/>
        </w:rPr>
        <w:t>πηρεσιών παρουσίασε πτώση, η οποία αντισταθμίστηκε μόνο εν μέρει από τον περιορισμό του ελλ</w:t>
      </w:r>
      <w:r w:rsidRPr="005B754E">
        <w:rPr>
          <w:sz w:val="22"/>
          <w:szCs w:val="22"/>
        </w:rPr>
        <w:t>ε</w:t>
      </w:r>
      <w:r w:rsidRPr="005B754E">
        <w:rPr>
          <w:sz w:val="22"/>
          <w:szCs w:val="22"/>
        </w:rPr>
        <w:t xml:space="preserve">ίμματος του ισοζυγίου αγαθών.  </w:t>
      </w:r>
    </w:p>
    <w:p w:rsidR="0057071D" w:rsidRPr="00B32A67" w:rsidRDefault="0057071D" w:rsidP="005B754E">
      <w:pPr>
        <w:jc w:val="both"/>
        <w:rPr>
          <w:sz w:val="22"/>
          <w:szCs w:val="22"/>
        </w:rPr>
      </w:pPr>
    </w:p>
    <w:p w:rsidR="005B754E" w:rsidRPr="00B32A67" w:rsidRDefault="005B754E" w:rsidP="005B754E">
      <w:pPr>
        <w:jc w:val="both"/>
        <w:rPr>
          <w:sz w:val="22"/>
          <w:szCs w:val="22"/>
        </w:rPr>
      </w:pPr>
      <w:r w:rsidRPr="005B754E">
        <w:rPr>
          <w:sz w:val="22"/>
          <w:szCs w:val="22"/>
        </w:rPr>
        <w:t>Το ισοζύγιο αγαθών, την περίοδο Ιανουαρίου-</w:t>
      </w:r>
      <w:r w:rsidR="003840F1">
        <w:rPr>
          <w:sz w:val="22"/>
          <w:szCs w:val="22"/>
        </w:rPr>
        <w:t>Σεπτεμβρίου</w:t>
      </w:r>
      <w:r w:rsidR="003840F1" w:rsidRPr="005B754E">
        <w:rPr>
          <w:sz w:val="22"/>
          <w:szCs w:val="22"/>
        </w:rPr>
        <w:t xml:space="preserve"> </w:t>
      </w:r>
      <w:r w:rsidRPr="005B754E">
        <w:rPr>
          <w:sz w:val="22"/>
          <w:szCs w:val="22"/>
        </w:rPr>
        <w:t>του 20</w:t>
      </w:r>
      <w:r w:rsidR="00160E74">
        <w:rPr>
          <w:sz w:val="22"/>
          <w:szCs w:val="22"/>
        </w:rPr>
        <w:t>16, εμφάνισε έλλειμμα 10,7 δισ</w:t>
      </w:r>
      <w:r w:rsidRPr="005B754E">
        <w:rPr>
          <w:sz w:val="22"/>
          <w:szCs w:val="22"/>
        </w:rPr>
        <w:t>. ε</w:t>
      </w:r>
      <w:r w:rsidRPr="005B754E">
        <w:rPr>
          <w:sz w:val="22"/>
          <w:szCs w:val="22"/>
        </w:rPr>
        <w:t>υ</w:t>
      </w:r>
      <w:r w:rsidRPr="005B754E">
        <w:rPr>
          <w:sz w:val="22"/>
          <w:szCs w:val="22"/>
        </w:rPr>
        <w:t>ρώ</w:t>
      </w:r>
      <w:r w:rsidR="001F27FF">
        <w:rPr>
          <w:sz w:val="22"/>
          <w:szCs w:val="22"/>
        </w:rPr>
        <w:t>,</w:t>
      </w:r>
      <w:r w:rsidRPr="005B754E">
        <w:rPr>
          <w:sz w:val="22"/>
          <w:szCs w:val="22"/>
        </w:rPr>
        <w:t xml:space="preserve"> κατά 663 εκατ. ευρώ μικρότερο εκείνου του 2015, ως αποτέλεσμα κυρίως της σημαντικής μεί</w:t>
      </w:r>
      <w:r w:rsidRPr="005B754E">
        <w:rPr>
          <w:sz w:val="22"/>
          <w:szCs w:val="22"/>
        </w:rPr>
        <w:t>ω</w:t>
      </w:r>
      <w:r w:rsidRPr="005B754E">
        <w:rPr>
          <w:sz w:val="22"/>
          <w:szCs w:val="22"/>
        </w:rPr>
        <w:t xml:space="preserve">σης του ελλείμματος του ισοζυγίου καυσίμων λόγω της πτώσης των διεθνών τιμών του πετρελαίου. Επίσης, περιορίστηκαν και οι καθαρές πληρωμές για αγορές πλοίων, εν μέρει λόγω της διεξαγωγής των σχετικών συναλλαγών εκτός του εγχωρίου τραπεζικού συστήματος (λόγω των περιορισμών στην </w:t>
      </w:r>
      <w:r w:rsidRPr="005B754E">
        <w:rPr>
          <w:sz w:val="22"/>
          <w:szCs w:val="22"/>
        </w:rPr>
        <w:lastRenderedPageBreak/>
        <w:t>κίνηση κεφαλαίων). Αντίθετα, το έλλειμμα του ισοζυγίου αγαθών χωρίς καύσιμα και πλοία αυξήθηκε, καθώς οι εισαγωγές αυξήθηκαν κατά 4,7%</w:t>
      </w:r>
      <w:r w:rsidRPr="005B754E">
        <w:rPr>
          <w:sz w:val="22"/>
          <w:szCs w:val="22"/>
          <w:vertAlign w:val="superscript"/>
        </w:rPr>
        <w:footnoteReference w:id="25"/>
      </w:r>
      <w:r w:rsidRPr="005B754E">
        <w:rPr>
          <w:sz w:val="22"/>
          <w:szCs w:val="22"/>
        </w:rPr>
        <w:t xml:space="preserve"> και οι αντίστοιχες εξαγωγές μειώθηκαν κατά 1,1%. Σ</w:t>
      </w:r>
      <w:r w:rsidRPr="005B754E">
        <w:rPr>
          <w:sz w:val="22"/>
          <w:szCs w:val="22"/>
        </w:rPr>
        <w:t>η</w:t>
      </w:r>
      <w:r w:rsidRPr="005B754E">
        <w:rPr>
          <w:sz w:val="22"/>
          <w:szCs w:val="22"/>
        </w:rPr>
        <w:t>μειώνεται ότι, σε σταθερές τιμές, οι συνολικές εξαγωγές αγαθών, την περίοδο Ιανουαρίου-</w:t>
      </w:r>
      <w:r w:rsidR="003840F1">
        <w:rPr>
          <w:sz w:val="22"/>
          <w:szCs w:val="22"/>
        </w:rPr>
        <w:t>Σεπτεμβρίου</w:t>
      </w:r>
      <w:r w:rsidR="003840F1" w:rsidRPr="005B754E">
        <w:rPr>
          <w:sz w:val="22"/>
          <w:szCs w:val="22"/>
        </w:rPr>
        <w:t xml:space="preserve"> </w:t>
      </w:r>
      <w:r w:rsidRPr="005B754E">
        <w:rPr>
          <w:sz w:val="22"/>
          <w:szCs w:val="22"/>
        </w:rPr>
        <w:t xml:space="preserve">του 2016, σημείωσαν άνοδο κατά 6,1% κυρίως λόγω αύξησης του όγκου των εξαγωγών καυσίμων. </w:t>
      </w:r>
    </w:p>
    <w:p w:rsidR="0057071D" w:rsidRPr="00B32A67" w:rsidRDefault="0057071D" w:rsidP="005B754E">
      <w:pPr>
        <w:jc w:val="both"/>
        <w:rPr>
          <w:sz w:val="22"/>
          <w:szCs w:val="22"/>
        </w:rPr>
      </w:pPr>
    </w:p>
    <w:p w:rsidR="005B754E" w:rsidRPr="00B32A67" w:rsidRDefault="005B754E" w:rsidP="005B754E">
      <w:pPr>
        <w:jc w:val="both"/>
        <w:rPr>
          <w:sz w:val="22"/>
          <w:szCs w:val="22"/>
        </w:rPr>
      </w:pPr>
      <w:r w:rsidRPr="005B754E">
        <w:rPr>
          <w:sz w:val="22"/>
          <w:szCs w:val="22"/>
        </w:rPr>
        <w:t>Ειδικότερα, εκτός από τον κλάδο των καυσίμων, σημαντική άνοδο σημείωσαν οι εξαγωγές των κλ</w:t>
      </w:r>
      <w:r w:rsidRPr="005B754E">
        <w:rPr>
          <w:sz w:val="22"/>
          <w:szCs w:val="22"/>
        </w:rPr>
        <w:t>ά</w:t>
      </w:r>
      <w:r w:rsidRPr="005B754E">
        <w:rPr>
          <w:sz w:val="22"/>
          <w:szCs w:val="22"/>
        </w:rPr>
        <w:t>δων τροφίμων, ποτών και καπνού, χημικών, μη μεταλλικών ορυκτών και μηχανημάτων και εξοπλι</w:t>
      </w:r>
      <w:r w:rsidRPr="005B754E">
        <w:rPr>
          <w:sz w:val="22"/>
          <w:szCs w:val="22"/>
        </w:rPr>
        <w:t>σ</w:t>
      </w:r>
      <w:r w:rsidRPr="005B754E">
        <w:rPr>
          <w:sz w:val="22"/>
          <w:szCs w:val="22"/>
        </w:rPr>
        <w:t>μού. Επίσης, οι ελληνικές εξαγωγές προς τις αγορές της Ευρωζώνης και της Ευρωπαϊκής Ένωσης α</w:t>
      </w:r>
      <w:r w:rsidRPr="005B754E">
        <w:rPr>
          <w:sz w:val="22"/>
          <w:szCs w:val="22"/>
        </w:rPr>
        <w:t>υ</w:t>
      </w:r>
      <w:r w:rsidRPr="005B754E">
        <w:rPr>
          <w:sz w:val="22"/>
          <w:szCs w:val="22"/>
        </w:rPr>
        <w:t xml:space="preserve">ξήθηκαν, σε αντίθεση με τις εξαγωγές προς εκτός ΕΕ αγορές, με αποτέλεσμα την άνοδο του ποσοστού των ελληνικών εξαγωγών προς τις χώρες της ΕΕ σε 61% της συνολικής αξίας τους, από 55% την ίδια περίοδο του 2015. </w:t>
      </w:r>
    </w:p>
    <w:p w:rsidR="0057071D" w:rsidRPr="00B32A67" w:rsidRDefault="0057071D" w:rsidP="005B754E">
      <w:pPr>
        <w:jc w:val="both"/>
        <w:rPr>
          <w:i/>
          <w:sz w:val="22"/>
          <w:szCs w:val="22"/>
        </w:rPr>
      </w:pPr>
    </w:p>
    <w:p w:rsidR="0057071D" w:rsidRPr="0057071D" w:rsidRDefault="005B754E" w:rsidP="005B754E">
      <w:pPr>
        <w:jc w:val="both"/>
        <w:rPr>
          <w:sz w:val="22"/>
          <w:szCs w:val="22"/>
        </w:rPr>
      </w:pPr>
      <w:r w:rsidRPr="005B754E">
        <w:rPr>
          <w:sz w:val="22"/>
          <w:szCs w:val="22"/>
        </w:rPr>
        <w:t>Το ισοζύγιο υπηρεσιών την περίοδο Ιανουαρίου-</w:t>
      </w:r>
      <w:r w:rsidR="003840F1">
        <w:rPr>
          <w:sz w:val="22"/>
          <w:szCs w:val="22"/>
        </w:rPr>
        <w:t>Σεπτεμβρίου</w:t>
      </w:r>
      <w:r w:rsidR="003840F1" w:rsidRPr="005B754E">
        <w:rPr>
          <w:sz w:val="22"/>
          <w:szCs w:val="22"/>
        </w:rPr>
        <w:t xml:space="preserve"> </w:t>
      </w:r>
      <w:r w:rsidRPr="005B754E">
        <w:rPr>
          <w:sz w:val="22"/>
          <w:szCs w:val="22"/>
        </w:rPr>
        <w:t>του 2016, παρουσίασε πλε</w:t>
      </w:r>
      <w:r w:rsidR="00160E74">
        <w:rPr>
          <w:sz w:val="22"/>
          <w:szCs w:val="22"/>
        </w:rPr>
        <w:t>όνασμα 10,9 δισ. ευρώ</w:t>
      </w:r>
      <w:r w:rsidR="001F27FF">
        <w:rPr>
          <w:sz w:val="22"/>
          <w:szCs w:val="22"/>
        </w:rPr>
        <w:t>,</w:t>
      </w:r>
      <w:r w:rsidR="00160E74">
        <w:rPr>
          <w:sz w:val="22"/>
          <w:szCs w:val="22"/>
        </w:rPr>
        <w:t xml:space="preserve"> κατά 1,9 δισ</w:t>
      </w:r>
      <w:r w:rsidRPr="005B754E">
        <w:rPr>
          <w:sz w:val="22"/>
          <w:szCs w:val="22"/>
        </w:rPr>
        <w:t>. ευρώ μικρότερο από εκείνο της αντίστοιχης περιόδου του 2015. Η εξέλιξη αυτή οφείλεται κυρίως στη μείωση των καθαρών εισπράξεων από μεταφορές. Επίσης επιδείνωση π</w:t>
      </w:r>
      <w:r w:rsidRPr="005B754E">
        <w:rPr>
          <w:sz w:val="22"/>
          <w:szCs w:val="22"/>
        </w:rPr>
        <w:t>α</w:t>
      </w:r>
      <w:r w:rsidRPr="005B754E">
        <w:rPr>
          <w:sz w:val="22"/>
          <w:szCs w:val="22"/>
        </w:rPr>
        <w:t>ρουσίασε και το ταξιδιωτικό ισοζύγιο. Οι εισπράξεις από ταξιδιωτικές υπηρεσίες σημείωσαν πτώση κατά 7,1%, παρά την άνοδο των αφίξεων ξένων επισκεπτών κατά 1,3%, λόγω της μείωσης της μέσης δαπάνης ανά ταξίδι κατά 9,0%. Η τελευταία οφείλεται κυρίως στον περιορισμό της μέσης διάρκειας του ταξιδιού, αλλά και της μέσης δαπάνης ανά διανυκτέρευση. Οι εισπράξεις από υπηρεσίες μεταφ</w:t>
      </w:r>
      <w:r w:rsidRPr="005B754E">
        <w:rPr>
          <w:sz w:val="22"/>
          <w:szCs w:val="22"/>
        </w:rPr>
        <w:t>ο</w:t>
      </w:r>
      <w:r w:rsidRPr="005B754E">
        <w:rPr>
          <w:sz w:val="22"/>
          <w:szCs w:val="22"/>
        </w:rPr>
        <w:t>ρών, κυρίως θαλάσσιων, κατέγραψαν μείωση κατά 33,5% συγκριτικά με την αντίστοιχη περίοδο του 2015. Τα έσοδα από θαλάσσιες μεταφορές επηρεάστηκαν αρνητικά αφενός από την διεξαγωγή των σχετικών συναλλαγών εκτός του εγχωρίου τραπεζικού συστήματος λόγω της επιβολής των περιορι</w:t>
      </w:r>
      <w:r w:rsidRPr="005B754E">
        <w:rPr>
          <w:sz w:val="22"/>
          <w:szCs w:val="22"/>
        </w:rPr>
        <w:t>σ</w:t>
      </w:r>
      <w:r w:rsidRPr="005B754E">
        <w:rPr>
          <w:sz w:val="22"/>
          <w:szCs w:val="22"/>
        </w:rPr>
        <w:t>μών στην κίνηση κεφαλαίων και αφετέρου από την πτώση των ναύλων κατά 37</w:t>
      </w:r>
      <w:r w:rsidR="001F27FF">
        <w:rPr>
          <w:sz w:val="22"/>
          <w:szCs w:val="22"/>
        </w:rPr>
        <w:t>,</w:t>
      </w:r>
      <w:r w:rsidRPr="005B754E">
        <w:rPr>
          <w:sz w:val="22"/>
          <w:szCs w:val="22"/>
        </w:rPr>
        <w:t>3%. Τέλος, το ισοζ</w:t>
      </w:r>
      <w:r w:rsidRPr="005B754E">
        <w:rPr>
          <w:sz w:val="22"/>
          <w:szCs w:val="22"/>
        </w:rPr>
        <w:t>ύ</w:t>
      </w:r>
      <w:r w:rsidRPr="005B754E">
        <w:rPr>
          <w:sz w:val="22"/>
          <w:szCs w:val="22"/>
        </w:rPr>
        <w:t xml:space="preserve">γιο των </w:t>
      </w:r>
      <w:r w:rsidR="00160E74">
        <w:rPr>
          <w:sz w:val="22"/>
          <w:szCs w:val="22"/>
        </w:rPr>
        <w:t>«λοιπών»</w:t>
      </w:r>
      <w:r w:rsidRPr="005B754E">
        <w:rPr>
          <w:sz w:val="22"/>
          <w:szCs w:val="22"/>
        </w:rPr>
        <w:t xml:space="preserve"> υπηρεσιών παρουσίασε βελτίωση καταγράφοντας αυξημένο πλεόνασμα σε σύγκρ</w:t>
      </w:r>
      <w:r w:rsidRPr="005B754E">
        <w:rPr>
          <w:sz w:val="22"/>
          <w:szCs w:val="22"/>
        </w:rPr>
        <w:t>ι</w:t>
      </w:r>
      <w:r w:rsidRPr="005B754E">
        <w:rPr>
          <w:sz w:val="22"/>
          <w:szCs w:val="22"/>
        </w:rPr>
        <w:t>ση με το 2015, χωρίς όμως να αντισταθμίσει τις ανωτέρω εξελίξεις.</w:t>
      </w:r>
    </w:p>
    <w:p w:rsidR="005B754E" w:rsidRPr="005B754E" w:rsidRDefault="005B754E" w:rsidP="005B754E">
      <w:pPr>
        <w:jc w:val="both"/>
        <w:rPr>
          <w:sz w:val="22"/>
          <w:szCs w:val="22"/>
        </w:rPr>
      </w:pPr>
      <w:r w:rsidRPr="005B754E">
        <w:rPr>
          <w:sz w:val="22"/>
          <w:szCs w:val="22"/>
        </w:rPr>
        <w:t xml:space="preserve"> </w:t>
      </w:r>
    </w:p>
    <w:p w:rsidR="005B754E" w:rsidRPr="005B754E" w:rsidRDefault="005B754E" w:rsidP="005B754E">
      <w:pPr>
        <w:jc w:val="both"/>
        <w:rPr>
          <w:sz w:val="22"/>
          <w:szCs w:val="22"/>
        </w:rPr>
      </w:pPr>
      <w:r w:rsidRPr="005B754E">
        <w:rPr>
          <w:sz w:val="22"/>
          <w:szCs w:val="22"/>
        </w:rPr>
        <w:t xml:space="preserve">Τους πρώτους </w:t>
      </w:r>
      <w:r w:rsidR="003840F1">
        <w:rPr>
          <w:sz w:val="22"/>
          <w:szCs w:val="22"/>
        </w:rPr>
        <w:t xml:space="preserve">εννέα </w:t>
      </w:r>
      <w:r w:rsidRPr="005B754E">
        <w:rPr>
          <w:sz w:val="22"/>
          <w:szCs w:val="22"/>
        </w:rPr>
        <w:t>μήνες του 2016, το πλεόνασμα του ισοζυγίου πρωτογενών εισοδημάτων διαμο</w:t>
      </w:r>
      <w:r w:rsidRPr="005B754E">
        <w:rPr>
          <w:sz w:val="22"/>
          <w:szCs w:val="22"/>
        </w:rPr>
        <w:t>ρ</w:t>
      </w:r>
      <w:r w:rsidRPr="005B754E">
        <w:rPr>
          <w:sz w:val="22"/>
          <w:szCs w:val="22"/>
        </w:rPr>
        <w:t>φώθηκε σε 467 εκατ. ευρώ, κατά 373 εκατ. ευρώ μεγαλύτερο σε σχέση με την ίδια περίοδο του 2015 και το έλλειμμα του ισοζυγίου δευτερογενών εισοδημάτων περιορίστηκε κατά 351 εκατ. ευρώ και δ</w:t>
      </w:r>
      <w:r w:rsidRPr="005B754E">
        <w:rPr>
          <w:sz w:val="22"/>
          <w:szCs w:val="22"/>
        </w:rPr>
        <w:t>ι</w:t>
      </w:r>
      <w:r w:rsidRPr="005B754E">
        <w:rPr>
          <w:sz w:val="22"/>
          <w:szCs w:val="22"/>
        </w:rPr>
        <w:t>αμορφώθηκε σε 162 εκατ. ευρώ. Κατά την ίδια χρονική περίοδο το πλεόνασμα του ισοζυγίου κεφαλ</w:t>
      </w:r>
      <w:r w:rsidRPr="005B754E">
        <w:rPr>
          <w:sz w:val="22"/>
          <w:szCs w:val="22"/>
        </w:rPr>
        <w:t>α</w:t>
      </w:r>
      <w:r w:rsidRPr="005B754E">
        <w:rPr>
          <w:sz w:val="22"/>
          <w:szCs w:val="22"/>
        </w:rPr>
        <w:t xml:space="preserve">ίων σημείωσε άνοδο και διαμορφώθηκε σε 638 εκατ. ευρώ. </w:t>
      </w:r>
    </w:p>
    <w:p w:rsidR="00D54FA4" w:rsidRPr="006E44AA" w:rsidRDefault="00D54FA4" w:rsidP="005B754E">
      <w:pPr>
        <w:jc w:val="both"/>
        <w:rPr>
          <w:sz w:val="22"/>
          <w:szCs w:val="22"/>
        </w:rPr>
      </w:pPr>
    </w:p>
    <w:p w:rsidR="005B754E" w:rsidRDefault="005B754E" w:rsidP="005B754E">
      <w:pPr>
        <w:jc w:val="both"/>
        <w:rPr>
          <w:sz w:val="22"/>
          <w:szCs w:val="22"/>
        </w:rPr>
      </w:pPr>
      <w:r w:rsidRPr="005B754E">
        <w:rPr>
          <w:sz w:val="22"/>
          <w:szCs w:val="22"/>
        </w:rPr>
        <w:t>Οι συνολικές καθαρές μεταβιβάσεις πόρων από την ΕΕ (εισπράξεις λοιπών πρωτογενών εισοδημάτω</w:t>
      </w:r>
      <w:r w:rsidR="00C32693">
        <w:rPr>
          <w:sz w:val="22"/>
          <w:szCs w:val="22"/>
        </w:rPr>
        <w:t>ν και δευτερογενών εισοδημάτων Γ</w:t>
      </w:r>
      <w:r w:rsidRPr="005B754E">
        <w:rPr>
          <w:sz w:val="22"/>
          <w:szCs w:val="22"/>
        </w:rPr>
        <w:t xml:space="preserve">ενικής </w:t>
      </w:r>
      <w:r w:rsidR="00C32693">
        <w:rPr>
          <w:sz w:val="22"/>
          <w:szCs w:val="22"/>
        </w:rPr>
        <w:t>Κ</w:t>
      </w:r>
      <w:r w:rsidRPr="005B754E">
        <w:rPr>
          <w:sz w:val="22"/>
          <w:szCs w:val="22"/>
        </w:rPr>
        <w:t>υβέρνησης και εισπράξεις κεφαλαίων μείον αποδόσεις στον Κοινοτικό Προϋπολογισμό) διαμορφ</w:t>
      </w:r>
      <w:r w:rsidR="001F27FF">
        <w:rPr>
          <w:sz w:val="22"/>
          <w:szCs w:val="22"/>
        </w:rPr>
        <w:t>ώθηκαν</w:t>
      </w:r>
      <w:r w:rsidRPr="005B754E">
        <w:rPr>
          <w:sz w:val="22"/>
          <w:szCs w:val="22"/>
        </w:rPr>
        <w:t xml:space="preserve"> σε 2,5 δισ. ευρώ έναντι 2,2 δισ. ευρώ την αντίστοιχη π</w:t>
      </w:r>
      <w:r w:rsidRPr="005B754E">
        <w:rPr>
          <w:sz w:val="22"/>
          <w:szCs w:val="22"/>
        </w:rPr>
        <w:t>ε</w:t>
      </w:r>
      <w:r w:rsidRPr="005B754E">
        <w:rPr>
          <w:sz w:val="22"/>
          <w:szCs w:val="22"/>
        </w:rPr>
        <w:t>ρίοδο του 2015.</w:t>
      </w:r>
      <w:r w:rsidRPr="005B754E">
        <w:rPr>
          <w:sz w:val="22"/>
          <w:szCs w:val="22"/>
          <w:vertAlign w:val="superscript"/>
        </w:rPr>
        <w:footnoteReference w:id="26"/>
      </w:r>
      <w:r w:rsidRPr="005B754E">
        <w:rPr>
          <w:sz w:val="22"/>
          <w:szCs w:val="22"/>
        </w:rPr>
        <w:t xml:space="preserve"> Οι σωρευτικές εισροές των διαρθρωτικών κονδυλίων από την ΕΕ μέχρι τέλος </w:t>
      </w:r>
      <w:r w:rsidR="003840F1">
        <w:rPr>
          <w:sz w:val="22"/>
          <w:szCs w:val="22"/>
        </w:rPr>
        <w:t>Σε</w:t>
      </w:r>
      <w:r w:rsidR="003840F1">
        <w:rPr>
          <w:sz w:val="22"/>
          <w:szCs w:val="22"/>
        </w:rPr>
        <w:t>π</w:t>
      </w:r>
      <w:r w:rsidR="003840F1">
        <w:rPr>
          <w:sz w:val="22"/>
          <w:szCs w:val="22"/>
        </w:rPr>
        <w:t xml:space="preserve">τεμβρίου </w:t>
      </w:r>
      <w:r w:rsidRPr="005B754E">
        <w:rPr>
          <w:sz w:val="22"/>
          <w:szCs w:val="22"/>
        </w:rPr>
        <w:t>2016 ανήλθαν σε περίπου 1,3 δισ. ευρώ.</w:t>
      </w: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p w:rsidR="008932E1" w:rsidRDefault="008932E1" w:rsidP="005B754E">
      <w:pPr>
        <w:jc w:val="both"/>
        <w:rPr>
          <w:sz w:val="22"/>
          <w:szCs w:val="22"/>
        </w:rPr>
      </w:pPr>
    </w:p>
    <w:tbl>
      <w:tblPr>
        <w:tblW w:w="90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4283"/>
        <w:gridCol w:w="802"/>
        <w:gridCol w:w="802"/>
        <w:gridCol w:w="802"/>
        <w:gridCol w:w="802"/>
        <w:gridCol w:w="802"/>
        <w:gridCol w:w="779"/>
      </w:tblGrid>
      <w:tr w:rsidR="008932E1" w:rsidRPr="00485FD7" w:rsidTr="00171286">
        <w:trPr>
          <w:cantSplit/>
          <w:jc w:val="center"/>
        </w:trPr>
        <w:tc>
          <w:tcPr>
            <w:tcW w:w="9072" w:type="dxa"/>
            <w:gridSpan w:val="7"/>
            <w:tcBorders>
              <w:top w:val="single" w:sz="6" w:space="0" w:color="auto"/>
              <w:bottom w:val="nil"/>
            </w:tcBorders>
            <w:shd w:val="clear" w:color="auto" w:fill="404040"/>
            <w:vAlign w:val="center"/>
          </w:tcPr>
          <w:p w:rsidR="008932E1" w:rsidRPr="00485FD7" w:rsidRDefault="008932E1" w:rsidP="00171286">
            <w:pPr>
              <w:pStyle w:val="3"/>
              <w:spacing w:before="120" w:after="0"/>
              <w:jc w:val="center"/>
              <w:rPr>
                <w:rFonts w:ascii="Arial Narrow" w:hAnsi="Arial Narrow"/>
                <w:color w:val="FFFFFF"/>
                <w:sz w:val="24"/>
                <w:szCs w:val="24"/>
              </w:rPr>
            </w:pPr>
            <w:r>
              <w:rPr>
                <w:sz w:val="22"/>
              </w:rPr>
              <w:lastRenderedPageBreak/>
              <w:br w:type="page"/>
            </w:r>
            <w:r w:rsidRPr="00485FD7">
              <w:rPr>
                <w:rFonts w:ascii="Arial Narrow" w:hAnsi="Arial Narrow"/>
                <w:color w:val="FFFFFF"/>
                <w:sz w:val="24"/>
                <w:szCs w:val="24"/>
              </w:rPr>
              <w:t xml:space="preserve">Πίνακας 1.2  Ισοζύγιο </w:t>
            </w:r>
            <w:r>
              <w:rPr>
                <w:rFonts w:ascii="Arial Narrow" w:hAnsi="Arial Narrow"/>
                <w:color w:val="FFFFFF"/>
                <w:sz w:val="24"/>
                <w:szCs w:val="24"/>
              </w:rPr>
              <w:t>πληρωμών (προσωρινά στοιχεία)</w:t>
            </w:r>
          </w:p>
          <w:p w:rsidR="008932E1" w:rsidRPr="00485FD7" w:rsidRDefault="008932E1" w:rsidP="00171286">
            <w:pPr>
              <w:spacing w:after="120"/>
              <w:jc w:val="center"/>
              <w:rPr>
                <w:b/>
                <w:snapToGrid w:val="0"/>
                <w:color w:val="FFFFFF"/>
                <w:sz w:val="16"/>
              </w:rPr>
            </w:pPr>
            <w:r w:rsidRPr="00485FD7">
              <w:rPr>
                <w:rFonts w:ascii="Arial Narrow" w:hAnsi="Arial Narrow"/>
                <w:b/>
                <w:color w:val="FFFFFF"/>
              </w:rPr>
              <w:t>(σε εκατ. ευρώ)</w:t>
            </w:r>
          </w:p>
        </w:tc>
      </w:tr>
      <w:tr w:rsidR="008932E1" w:rsidRPr="00485FD7" w:rsidTr="00171286">
        <w:trPr>
          <w:cantSplit/>
          <w:trHeight w:val="20"/>
          <w:jc w:val="center"/>
        </w:trPr>
        <w:tc>
          <w:tcPr>
            <w:tcW w:w="9072" w:type="dxa"/>
            <w:gridSpan w:val="7"/>
            <w:tcBorders>
              <w:top w:val="single" w:sz="6" w:space="0" w:color="auto"/>
              <w:bottom w:val="nil"/>
            </w:tcBorders>
            <w:shd w:val="clear" w:color="auto" w:fill="auto"/>
            <w:vAlign w:val="center"/>
          </w:tcPr>
          <w:p w:rsidR="008932E1" w:rsidRDefault="008932E1" w:rsidP="00171286">
            <w:pPr>
              <w:pStyle w:val="3"/>
              <w:spacing w:before="0" w:after="0" w:line="180" w:lineRule="exact"/>
              <w:jc w:val="center"/>
              <w:rPr>
                <w:sz w:val="22"/>
              </w:rPr>
            </w:pPr>
          </w:p>
        </w:tc>
      </w:tr>
      <w:tr w:rsidR="008932E1" w:rsidRPr="00472EC7" w:rsidTr="00171286">
        <w:trPr>
          <w:cantSplit/>
          <w:jc w:val="center"/>
        </w:trPr>
        <w:tc>
          <w:tcPr>
            <w:tcW w:w="4283" w:type="dxa"/>
            <w:vMerge w:val="restart"/>
            <w:tcBorders>
              <w:top w:val="single" w:sz="4" w:space="0" w:color="auto"/>
            </w:tcBorders>
            <w:shd w:val="clear" w:color="auto" w:fill="FFFFFF"/>
            <w:vAlign w:val="center"/>
          </w:tcPr>
          <w:p w:rsidR="008932E1" w:rsidRPr="00472EC7" w:rsidRDefault="008932E1" w:rsidP="00171286">
            <w:pPr>
              <w:tabs>
                <w:tab w:val="left" w:pos="426"/>
              </w:tabs>
              <w:spacing w:line="180" w:lineRule="exact"/>
              <w:jc w:val="center"/>
              <w:rPr>
                <w:rFonts w:ascii="Arial Narrow" w:hAnsi="Arial Narrow"/>
                <w:b/>
                <w:snapToGrid w:val="0"/>
                <w:color w:val="000000"/>
                <w:sz w:val="16"/>
              </w:rPr>
            </w:pPr>
          </w:p>
        </w:tc>
        <w:tc>
          <w:tcPr>
            <w:tcW w:w="2406" w:type="dxa"/>
            <w:gridSpan w:val="3"/>
            <w:tcBorders>
              <w:top w:val="single" w:sz="4" w:space="0" w:color="auto"/>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sidRPr="00472EC7">
              <w:rPr>
                <w:rFonts w:ascii="Arial Narrow" w:hAnsi="Arial Narrow"/>
                <w:b/>
                <w:snapToGrid w:val="0"/>
                <w:color w:val="000000"/>
                <w:sz w:val="16"/>
              </w:rPr>
              <w:t>Ιανουάριος-</w:t>
            </w:r>
            <w:r>
              <w:rPr>
                <w:rFonts w:ascii="Arial Narrow" w:hAnsi="Arial Narrow"/>
                <w:b/>
                <w:snapToGrid w:val="0"/>
                <w:color w:val="000000"/>
                <w:sz w:val="16"/>
              </w:rPr>
              <w:t>Δεκέμβριος</w:t>
            </w:r>
          </w:p>
        </w:tc>
        <w:tc>
          <w:tcPr>
            <w:tcW w:w="2383" w:type="dxa"/>
            <w:gridSpan w:val="3"/>
            <w:tcBorders>
              <w:top w:val="single" w:sz="4" w:space="0" w:color="auto"/>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sidRPr="00472EC7">
              <w:rPr>
                <w:rFonts w:ascii="Arial Narrow" w:hAnsi="Arial Narrow"/>
                <w:b/>
                <w:snapToGrid w:val="0"/>
                <w:color w:val="000000"/>
                <w:sz w:val="16"/>
              </w:rPr>
              <w:t>Ιανουάριος-</w:t>
            </w:r>
            <w:r>
              <w:rPr>
                <w:rFonts w:ascii="Arial Narrow" w:hAnsi="Arial Narrow"/>
                <w:b/>
                <w:snapToGrid w:val="0"/>
                <w:color w:val="000000"/>
                <w:sz w:val="16"/>
              </w:rPr>
              <w:t>Σεπτέμβριος</w:t>
            </w:r>
          </w:p>
        </w:tc>
      </w:tr>
      <w:tr w:rsidR="008932E1" w:rsidRPr="00472EC7" w:rsidTr="00171286">
        <w:trPr>
          <w:cantSplit/>
          <w:jc w:val="center"/>
        </w:trPr>
        <w:tc>
          <w:tcPr>
            <w:tcW w:w="4283" w:type="dxa"/>
            <w:vMerge/>
            <w:tcBorders>
              <w:bottom w:val="single" w:sz="4" w:space="0" w:color="auto"/>
            </w:tcBorders>
          </w:tcPr>
          <w:p w:rsidR="008932E1" w:rsidRPr="00472EC7" w:rsidRDefault="008932E1" w:rsidP="00171286">
            <w:pPr>
              <w:tabs>
                <w:tab w:val="left" w:pos="426"/>
              </w:tabs>
              <w:spacing w:line="180" w:lineRule="exact"/>
              <w:jc w:val="center"/>
              <w:rPr>
                <w:rFonts w:ascii="Arial Narrow" w:hAnsi="Arial Narrow"/>
                <w:b/>
                <w:snapToGrid w:val="0"/>
                <w:color w:val="000000"/>
                <w:sz w:val="16"/>
              </w:rPr>
            </w:pPr>
          </w:p>
        </w:tc>
        <w:tc>
          <w:tcPr>
            <w:tcW w:w="802"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Pr>
                <w:rFonts w:ascii="Arial Narrow" w:hAnsi="Arial Narrow"/>
                <w:b/>
                <w:snapToGrid w:val="0"/>
                <w:color w:val="000000"/>
                <w:sz w:val="16"/>
              </w:rPr>
              <w:t>2013</w:t>
            </w:r>
          </w:p>
        </w:tc>
        <w:tc>
          <w:tcPr>
            <w:tcW w:w="802"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Pr>
                <w:rFonts w:ascii="Arial Narrow" w:hAnsi="Arial Narrow"/>
                <w:b/>
                <w:snapToGrid w:val="0"/>
                <w:color w:val="000000"/>
                <w:sz w:val="16"/>
              </w:rPr>
              <w:t>2014</w:t>
            </w:r>
          </w:p>
        </w:tc>
        <w:tc>
          <w:tcPr>
            <w:tcW w:w="802"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Pr>
                <w:rFonts w:ascii="Arial Narrow" w:hAnsi="Arial Narrow"/>
                <w:b/>
                <w:snapToGrid w:val="0"/>
                <w:color w:val="000000"/>
                <w:sz w:val="16"/>
              </w:rPr>
              <w:t>2015</w:t>
            </w:r>
          </w:p>
        </w:tc>
        <w:tc>
          <w:tcPr>
            <w:tcW w:w="802"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sidRPr="00472EC7">
              <w:rPr>
                <w:rFonts w:ascii="Arial Narrow" w:hAnsi="Arial Narrow"/>
                <w:b/>
                <w:snapToGrid w:val="0"/>
                <w:color w:val="000000"/>
                <w:sz w:val="16"/>
              </w:rPr>
              <w:t>20</w:t>
            </w:r>
            <w:r>
              <w:rPr>
                <w:rFonts w:ascii="Arial Narrow" w:hAnsi="Arial Narrow"/>
                <w:b/>
                <w:snapToGrid w:val="0"/>
                <w:color w:val="000000"/>
                <w:sz w:val="16"/>
              </w:rPr>
              <w:t>14</w:t>
            </w:r>
          </w:p>
        </w:tc>
        <w:tc>
          <w:tcPr>
            <w:tcW w:w="802"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sidRPr="00472EC7">
              <w:rPr>
                <w:rFonts w:ascii="Arial Narrow" w:hAnsi="Arial Narrow"/>
                <w:b/>
                <w:snapToGrid w:val="0"/>
                <w:color w:val="000000"/>
                <w:sz w:val="16"/>
              </w:rPr>
              <w:t>201</w:t>
            </w:r>
            <w:r>
              <w:rPr>
                <w:rFonts w:ascii="Arial Narrow" w:hAnsi="Arial Narrow"/>
                <w:b/>
                <w:snapToGrid w:val="0"/>
                <w:color w:val="000000"/>
                <w:sz w:val="16"/>
              </w:rPr>
              <w:t>5</w:t>
            </w:r>
          </w:p>
        </w:tc>
        <w:tc>
          <w:tcPr>
            <w:tcW w:w="779" w:type="dxa"/>
            <w:tcBorders>
              <w:top w:val="nil"/>
              <w:bottom w:val="single" w:sz="4" w:space="0" w:color="auto"/>
            </w:tcBorders>
            <w:shd w:val="clear" w:color="auto" w:fill="FFFFFF"/>
          </w:tcPr>
          <w:p w:rsidR="008932E1" w:rsidRPr="00472EC7" w:rsidRDefault="008932E1" w:rsidP="00171286">
            <w:pPr>
              <w:spacing w:line="180" w:lineRule="exact"/>
              <w:jc w:val="center"/>
              <w:rPr>
                <w:rFonts w:ascii="Arial Narrow" w:hAnsi="Arial Narrow"/>
                <w:b/>
                <w:snapToGrid w:val="0"/>
                <w:color w:val="000000"/>
                <w:sz w:val="16"/>
              </w:rPr>
            </w:pPr>
            <w:r>
              <w:rPr>
                <w:rFonts w:ascii="Arial Narrow" w:hAnsi="Arial Narrow"/>
                <w:b/>
                <w:snapToGrid w:val="0"/>
                <w:color w:val="000000"/>
                <w:sz w:val="16"/>
              </w:rPr>
              <w:t>2016</w:t>
            </w:r>
          </w:p>
        </w:tc>
      </w:tr>
      <w:tr w:rsidR="008932E1" w:rsidRPr="00472EC7" w:rsidTr="00171286">
        <w:trPr>
          <w:cantSplit/>
          <w:jc w:val="center"/>
        </w:trPr>
        <w:tc>
          <w:tcPr>
            <w:tcW w:w="4283" w:type="dxa"/>
            <w:tcBorders>
              <w:top w:val="single" w:sz="4" w:space="0" w:color="auto"/>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i/>
                <w:snapToGrid w:val="0"/>
                <w:color w:val="000000"/>
                <w:sz w:val="16"/>
                <w:szCs w:val="16"/>
              </w:rPr>
            </w:pPr>
            <w:r w:rsidRPr="00472EC7">
              <w:rPr>
                <w:rFonts w:ascii="Arial Narrow" w:hAnsi="Arial Narrow"/>
                <w:b/>
                <w:snapToGrid w:val="0"/>
                <w:color w:val="000000"/>
                <w:sz w:val="16"/>
                <w:szCs w:val="16"/>
              </w:rPr>
              <w:t>I.</w:t>
            </w:r>
            <w:r w:rsidRPr="00472EC7">
              <w:rPr>
                <w:rFonts w:ascii="Arial Narrow" w:hAnsi="Arial Narrow"/>
                <w:b/>
                <w:snapToGrid w:val="0"/>
                <w:color w:val="000000"/>
                <w:sz w:val="16"/>
                <w:szCs w:val="16"/>
              </w:rPr>
              <w:tab/>
              <w:t>Ισοζύγιο τρεχουσών συναλλαγών (Ι.Α+Ι.Β+Ι.Γ+Ι.Δ</w:t>
            </w:r>
            <w:r w:rsidRPr="00472EC7">
              <w:rPr>
                <w:rFonts w:ascii="Arial Narrow" w:hAnsi="Arial Narrow"/>
                <w:b/>
                <w:i/>
                <w:snapToGrid w:val="0"/>
                <w:color w:val="000000"/>
                <w:sz w:val="16"/>
                <w:szCs w:val="16"/>
              </w:rPr>
              <w:t>)</w:t>
            </w:r>
          </w:p>
        </w:tc>
        <w:tc>
          <w:tcPr>
            <w:tcW w:w="802" w:type="dxa"/>
            <w:tcBorders>
              <w:top w:val="single" w:sz="4" w:space="0" w:color="auto"/>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-3.687,6</w:t>
            </w:r>
          </w:p>
        </w:tc>
        <w:tc>
          <w:tcPr>
            <w:tcW w:w="802" w:type="dxa"/>
            <w:tcBorders>
              <w:top w:val="single" w:sz="4" w:space="0" w:color="auto"/>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-2.912,6</w:t>
            </w:r>
          </w:p>
        </w:tc>
        <w:tc>
          <w:tcPr>
            <w:tcW w:w="802" w:type="dxa"/>
            <w:tcBorders>
              <w:top w:val="single" w:sz="4" w:space="0" w:color="auto"/>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205,8</w:t>
            </w:r>
          </w:p>
        </w:tc>
        <w:tc>
          <w:tcPr>
            <w:tcW w:w="802" w:type="dxa"/>
            <w:tcBorders>
              <w:top w:val="single" w:sz="4" w:space="0" w:color="auto"/>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-466,7</w:t>
            </w:r>
          </w:p>
        </w:tc>
        <w:tc>
          <w:tcPr>
            <w:tcW w:w="802" w:type="dxa"/>
            <w:tcBorders>
              <w:top w:val="single" w:sz="4" w:space="0" w:color="auto"/>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990,4</w:t>
            </w:r>
          </w:p>
        </w:tc>
        <w:tc>
          <w:tcPr>
            <w:tcW w:w="779" w:type="dxa"/>
            <w:tcBorders>
              <w:top w:val="single" w:sz="4" w:space="0" w:color="auto"/>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430,4</w:t>
            </w:r>
          </w:p>
        </w:tc>
      </w:tr>
      <w:tr w:rsidR="008932E1" w:rsidRPr="00E94162" w:rsidTr="00171286">
        <w:trPr>
          <w:cantSplit/>
          <w:jc w:val="center"/>
        </w:trPr>
        <w:tc>
          <w:tcPr>
            <w:tcW w:w="4283" w:type="dxa"/>
            <w:tcBorders>
              <w:top w:val="single" w:sz="4" w:space="0" w:color="auto"/>
              <w:bottom w:val="nil"/>
              <w:right w:val="nil"/>
            </w:tcBorders>
            <w:shd w:val="clear" w:color="auto" w:fill="FFFFFF"/>
          </w:tcPr>
          <w:p w:rsidR="008932E1" w:rsidRPr="00E94162" w:rsidRDefault="008932E1" w:rsidP="00171286">
            <w:pPr>
              <w:tabs>
                <w:tab w:val="left" w:pos="426"/>
              </w:tabs>
              <w:spacing w:line="100" w:lineRule="exact"/>
              <w:rPr>
                <w:rFonts w:ascii="Arial Narrow" w:hAnsi="Arial Narrow"/>
                <w:b/>
                <w:snapToGrid w:val="0"/>
                <w:color w:val="000000"/>
                <w:sz w:val="4"/>
                <w:szCs w:val="16"/>
              </w:rPr>
            </w:pPr>
          </w:p>
        </w:tc>
        <w:tc>
          <w:tcPr>
            <w:tcW w:w="802" w:type="dxa"/>
            <w:tcBorders>
              <w:top w:val="single" w:sz="4" w:space="0" w:color="auto"/>
              <w:left w:val="nil"/>
              <w:bottom w:val="nil"/>
              <w:right w:val="nil"/>
            </w:tcBorders>
            <w:shd w:val="clear" w:color="auto" w:fill="FFFFFF"/>
            <w:vAlign w:val="bottom"/>
          </w:tcPr>
          <w:p w:rsidR="008932E1" w:rsidRPr="00E94162" w:rsidRDefault="008932E1" w:rsidP="00171286">
            <w:pPr>
              <w:tabs>
                <w:tab w:val="decimal" w:pos="508"/>
              </w:tabs>
              <w:spacing w:line="100" w:lineRule="exact"/>
              <w:jc w:val="both"/>
              <w:rPr>
                <w:rFonts w:ascii="Arial Narrow" w:hAnsi="Arial Narrow" w:cs="Calibri"/>
                <w:b/>
                <w:bCs/>
                <w:sz w:val="4"/>
                <w:szCs w:val="16"/>
              </w:rPr>
            </w:pPr>
          </w:p>
        </w:tc>
        <w:tc>
          <w:tcPr>
            <w:tcW w:w="802" w:type="dxa"/>
            <w:tcBorders>
              <w:top w:val="single" w:sz="4" w:space="0" w:color="auto"/>
              <w:left w:val="nil"/>
              <w:bottom w:val="nil"/>
              <w:right w:val="nil"/>
            </w:tcBorders>
            <w:shd w:val="clear" w:color="auto" w:fill="FFFFFF"/>
            <w:vAlign w:val="bottom"/>
          </w:tcPr>
          <w:p w:rsidR="008932E1" w:rsidRPr="00E94162" w:rsidRDefault="008932E1" w:rsidP="00171286">
            <w:pPr>
              <w:tabs>
                <w:tab w:val="decimal" w:pos="499"/>
              </w:tabs>
              <w:spacing w:line="100" w:lineRule="exact"/>
              <w:jc w:val="both"/>
              <w:rPr>
                <w:rFonts w:ascii="Arial Narrow" w:hAnsi="Arial Narrow" w:cs="Calibri"/>
                <w:b/>
                <w:bCs/>
                <w:sz w:val="4"/>
                <w:szCs w:val="16"/>
              </w:rPr>
            </w:pPr>
          </w:p>
        </w:tc>
        <w:tc>
          <w:tcPr>
            <w:tcW w:w="802" w:type="dxa"/>
            <w:tcBorders>
              <w:top w:val="single" w:sz="4" w:space="0" w:color="auto"/>
              <w:left w:val="nil"/>
              <w:bottom w:val="nil"/>
              <w:right w:val="nil"/>
            </w:tcBorders>
            <w:shd w:val="clear" w:color="auto" w:fill="FFFFFF"/>
            <w:vAlign w:val="bottom"/>
          </w:tcPr>
          <w:p w:rsidR="008932E1" w:rsidRPr="00E94162" w:rsidRDefault="008932E1" w:rsidP="00171286">
            <w:pPr>
              <w:tabs>
                <w:tab w:val="decimal" w:pos="477"/>
              </w:tabs>
              <w:spacing w:line="100" w:lineRule="exact"/>
              <w:jc w:val="both"/>
              <w:rPr>
                <w:rFonts w:ascii="Arial Narrow" w:hAnsi="Arial Narrow" w:cs="Calibri"/>
                <w:b/>
                <w:bCs/>
                <w:sz w:val="4"/>
                <w:szCs w:val="16"/>
              </w:rPr>
            </w:pPr>
          </w:p>
        </w:tc>
        <w:tc>
          <w:tcPr>
            <w:tcW w:w="802" w:type="dxa"/>
            <w:tcBorders>
              <w:top w:val="single" w:sz="4" w:space="0" w:color="auto"/>
              <w:left w:val="nil"/>
              <w:bottom w:val="nil"/>
              <w:right w:val="nil"/>
            </w:tcBorders>
            <w:shd w:val="clear" w:color="auto" w:fill="FFFFFF"/>
            <w:vAlign w:val="bottom"/>
          </w:tcPr>
          <w:p w:rsidR="008932E1" w:rsidRPr="00E94162" w:rsidRDefault="008932E1" w:rsidP="00171286">
            <w:pPr>
              <w:tabs>
                <w:tab w:val="decimal" w:pos="475"/>
                <w:tab w:val="decimal" w:pos="512"/>
              </w:tabs>
              <w:spacing w:line="100" w:lineRule="exact"/>
              <w:jc w:val="both"/>
              <w:rPr>
                <w:rFonts w:ascii="Arial Narrow" w:hAnsi="Arial Narrow" w:cs="Calibri"/>
                <w:b/>
                <w:bCs/>
                <w:sz w:val="4"/>
                <w:szCs w:val="16"/>
              </w:rPr>
            </w:pPr>
          </w:p>
        </w:tc>
        <w:tc>
          <w:tcPr>
            <w:tcW w:w="802" w:type="dxa"/>
            <w:tcBorders>
              <w:top w:val="single" w:sz="4" w:space="0" w:color="auto"/>
              <w:left w:val="nil"/>
              <w:bottom w:val="nil"/>
              <w:right w:val="nil"/>
            </w:tcBorders>
            <w:shd w:val="clear" w:color="auto" w:fill="FFFFFF"/>
            <w:vAlign w:val="bottom"/>
          </w:tcPr>
          <w:p w:rsidR="008932E1" w:rsidRPr="00E94162" w:rsidRDefault="008932E1" w:rsidP="00171286">
            <w:pPr>
              <w:tabs>
                <w:tab w:val="decimal" w:pos="453"/>
                <w:tab w:val="decimal" w:pos="506"/>
              </w:tabs>
              <w:spacing w:line="100" w:lineRule="exact"/>
              <w:jc w:val="both"/>
              <w:rPr>
                <w:rFonts w:ascii="Arial Narrow" w:hAnsi="Arial Narrow" w:cs="Calibri"/>
                <w:b/>
                <w:bCs/>
                <w:sz w:val="4"/>
                <w:szCs w:val="16"/>
              </w:rPr>
            </w:pPr>
          </w:p>
        </w:tc>
        <w:tc>
          <w:tcPr>
            <w:tcW w:w="779" w:type="dxa"/>
            <w:tcBorders>
              <w:top w:val="single" w:sz="4" w:space="0" w:color="auto"/>
              <w:left w:val="nil"/>
              <w:bottom w:val="nil"/>
            </w:tcBorders>
            <w:shd w:val="clear" w:color="auto" w:fill="FFFFFF"/>
            <w:vAlign w:val="bottom"/>
          </w:tcPr>
          <w:p w:rsidR="008932E1" w:rsidRPr="00E94162" w:rsidRDefault="008932E1" w:rsidP="00171286">
            <w:pPr>
              <w:tabs>
                <w:tab w:val="decimal" w:pos="444"/>
                <w:tab w:val="decimal" w:pos="471"/>
              </w:tabs>
              <w:spacing w:line="100" w:lineRule="exact"/>
              <w:jc w:val="both"/>
              <w:rPr>
                <w:rFonts w:ascii="Arial Narrow" w:hAnsi="Arial Narrow" w:cs="Calibri"/>
                <w:b/>
                <w:bCs/>
                <w:sz w:val="4"/>
                <w:szCs w:val="16"/>
              </w:rPr>
            </w:pPr>
          </w:p>
        </w:tc>
      </w:tr>
      <w:tr w:rsidR="008932E1" w:rsidRPr="00243770" w:rsidTr="00171286">
        <w:trPr>
          <w:cantSplit/>
          <w:jc w:val="center"/>
        </w:trPr>
        <w:tc>
          <w:tcPr>
            <w:tcW w:w="4283" w:type="dxa"/>
            <w:tcBorders>
              <w:top w:val="nil"/>
              <w:bottom w:val="nil"/>
              <w:right w:val="nil"/>
            </w:tcBorders>
            <w:shd w:val="clear" w:color="auto" w:fill="FFFFFF"/>
          </w:tcPr>
          <w:p w:rsidR="008932E1" w:rsidRPr="00243770" w:rsidRDefault="008932E1" w:rsidP="00171286">
            <w:pPr>
              <w:tabs>
                <w:tab w:val="left" w:pos="426"/>
              </w:tabs>
              <w:spacing w:line="180" w:lineRule="exact"/>
              <w:jc w:val="both"/>
              <w:rPr>
                <w:rFonts w:ascii="Arial Narrow" w:hAnsi="Arial Narrow"/>
                <w:b/>
                <w:snapToGrid w:val="0"/>
                <w:color w:val="000000"/>
                <w:sz w:val="16"/>
                <w:szCs w:val="16"/>
              </w:rPr>
            </w:pPr>
            <w:r>
              <w:rPr>
                <w:rFonts w:ascii="Arial Narrow" w:hAnsi="Arial Narrow"/>
                <w:b/>
                <w:snapToGrid w:val="0"/>
                <w:color w:val="000000"/>
                <w:sz w:val="16"/>
                <w:szCs w:val="16"/>
              </w:rPr>
              <w:tab/>
            </w:r>
            <w:r w:rsidRPr="00243770">
              <w:rPr>
                <w:rFonts w:ascii="Arial Narrow" w:hAnsi="Arial Narrow"/>
                <w:b/>
                <w:snapToGrid w:val="0"/>
                <w:color w:val="000000"/>
                <w:sz w:val="16"/>
                <w:szCs w:val="16"/>
              </w:rPr>
              <w:t xml:space="preserve">Ισοζύγιο </w:t>
            </w:r>
            <w:r>
              <w:rPr>
                <w:rFonts w:ascii="Arial Narrow" w:hAnsi="Arial Narrow"/>
                <w:b/>
                <w:snapToGrid w:val="0"/>
                <w:color w:val="000000"/>
                <w:sz w:val="16"/>
                <w:szCs w:val="16"/>
              </w:rPr>
              <w:t>αγαθών και υπηρεσιών (Ι.Α+Ι.Β)</w:t>
            </w:r>
            <w:r w:rsidRPr="00243770">
              <w:rPr>
                <w:rFonts w:ascii="Arial Narrow" w:hAnsi="Arial Narrow"/>
                <w:b/>
                <w:snapToGrid w:val="0"/>
                <w:color w:val="000000"/>
                <w:sz w:val="16"/>
                <w:szCs w:val="16"/>
              </w:rPr>
              <w:tab/>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-5.026,6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-3.979,0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-298,8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-1.425,6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1.409,2</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125,2</w:t>
            </w:r>
          </w:p>
        </w:tc>
      </w:tr>
      <w:tr w:rsidR="008932E1" w:rsidRPr="00E94162" w:rsidTr="00171286">
        <w:trPr>
          <w:cantSplit/>
          <w:jc w:val="center"/>
        </w:trPr>
        <w:tc>
          <w:tcPr>
            <w:tcW w:w="4283" w:type="dxa"/>
            <w:tcBorders>
              <w:top w:val="nil"/>
              <w:bottom w:val="nil"/>
              <w:right w:val="nil"/>
            </w:tcBorders>
            <w:shd w:val="clear" w:color="auto" w:fill="FFFFFF"/>
          </w:tcPr>
          <w:p w:rsidR="008932E1" w:rsidRPr="00E94162" w:rsidRDefault="008932E1" w:rsidP="00171286">
            <w:pPr>
              <w:tabs>
                <w:tab w:val="left" w:pos="426"/>
              </w:tabs>
              <w:spacing w:line="100" w:lineRule="exact"/>
              <w:jc w:val="both"/>
              <w:rPr>
                <w:rFonts w:ascii="Arial Narrow" w:hAnsi="Arial Narrow"/>
                <w:b/>
                <w:snapToGrid w:val="0"/>
                <w:color w:val="000000"/>
                <w:sz w:val="4"/>
                <w:szCs w:val="16"/>
              </w:rPr>
            </w:pPr>
          </w:p>
        </w:tc>
        <w:tc>
          <w:tcPr>
            <w:tcW w:w="802" w:type="dxa"/>
            <w:tcBorders>
              <w:top w:val="nil"/>
              <w:left w:val="nil"/>
              <w:bottom w:val="nil"/>
              <w:right w:val="nil"/>
            </w:tcBorders>
            <w:shd w:val="clear" w:color="auto" w:fill="FFFFFF"/>
            <w:vAlign w:val="bottom"/>
          </w:tcPr>
          <w:p w:rsidR="008932E1" w:rsidRPr="00E94162" w:rsidRDefault="008932E1" w:rsidP="00171286">
            <w:pPr>
              <w:tabs>
                <w:tab w:val="decimal" w:pos="508"/>
              </w:tabs>
              <w:spacing w:line="10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8932E1" w:rsidRPr="00E94162" w:rsidRDefault="008932E1" w:rsidP="00171286">
            <w:pPr>
              <w:tabs>
                <w:tab w:val="decimal" w:pos="499"/>
              </w:tabs>
              <w:spacing w:line="10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8932E1" w:rsidRPr="00E94162" w:rsidRDefault="008932E1" w:rsidP="00171286">
            <w:pPr>
              <w:tabs>
                <w:tab w:val="decimal" w:pos="477"/>
              </w:tabs>
              <w:spacing w:line="10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8932E1" w:rsidRPr="00E94162" w:rsidRDefault="008932E1" w:rsidP="00171286">
            <w:pPr>
              <w:tabs>
                <w:tab w:val="decimal" w:pos="475"/>
                <w:tab w:val="decimal" w:pos="512"/>
              </w:tabs>
              <w:spacing w:line="10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8932E1" w:rsidRPr="00E94162" w:rsidRDefault="008932E1" w:rsidP="00171286">
            <w:pPr>
              <w:tabs>
                <w:tab w:val="decimal" w:pos="453"/>
                <w:tab w:val="decimal" w:pos="506"/>
              </w:tabs>
              <w:spacing w:line="100" w:lineRule="exact"/>
              <w:jc w:val="both"/>
              <w:rPr>
                <w:rFonts w:ascii="Arial Narrow" w:hAnsi="Arial Narrow" w:cs="Calibri"/>
                <w:b/>
                <w:bCs/>
                <w:i/>
                <w:sz w:val="4"/>
                <w:szCs w:val="16"/>
              </w:rPr>
            </w:pPr>
          </w:p>
        </w:tc>
        <w:tc>
          <w:tcPr>
            <w:tcW w:w="779" w:type="dxa"/>
            <w:tcBorders>
              <w:top w:val="nil"/>
              <w:left w:val="nil"/>
              <w:bottom w:val="nil"/>
            </w:tcBorders>
            <w:shd w:val="clear" w:color="auto" w:fill="FFFFFF"/>
            <w:vAlign w:val="bottom"/>
          </w:tcPr>
          <w:p w:rsidR="008932E1" w:rsidRPr="00E94162" w:rsidRDefault="008932E1" w:rsidP="00171286">
            <w:pPr>
              <w:tabs>
                <w:tab w:val="decimal" w:pos="444"/>
                <w:tab w:val="decimal" w:pos="471"/>
              </w:tabs>
              <w:spacing w:line="100" w:lineRule="exact"/>
              <w:jc w:val="both"/>
              <w:rPr>
                <w:rFonts w:ascii="Arial Narrow" w:hAnsi="Arial Narrow" w:cs="Calibri"/>
                <w:b/>
                <w:bCs/>
                <w:i/>
                <w:sz w:val="4"/>
                <w:szCs w:val="16"/>
              </w:rPr>
            </w:pP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Ι.A</w:t>
            </w:r>
            <w:r w:rsidRPr="00472EC7">
              <w:rPr>
                <w:rFonts w:ascii="Arial Narrow" w:hAnsi="Arial Narrow"/>
                <w:b/>
                <w:snapToGrid w:val="0"/>
                <w:color w:val="000000"/>
                <w:sz w:val="16"/>
                <w:szCs w:val="16"/>
              </w:rPr>
              <w:tab/>
            </w:r>
            <w:r>
              <w:rPr>
                <w:rFonts w:ascii="Arial Narrow" w:hAnsi="Arial Narrow"/>
                <w:b/>
                <w:snapToGrid w:val="0"/>
                <w:color w:val="000000"/>
                <w:sz w:val="16"/>
                <w:szCs w:val="16"/>
              </w:rPr>
              <w:t>Ι</w:t>
            </w:r>
            <w:r w:rsidRPr="00472EC7">
              <w:rPr>
                <w:rFonts w:ascii="Arial Narrow" w:hAnsi="Arial Narrow"/>
                <w:b/>
                <w:snapToGrid w:val="0"/>
                <w:color w:val="000000"/>
                <w:sz w:val="16"/>
                <w:szCs w:val="16"/>
              </w:rPr>
              <w:t xml:space="preserve">σοζύγιο </w:t>
            </w:r>
            <w:r>
              <w:rPr>
                <w:rFonts w:ascii="Arial Narrow" w:hAnsi="Arial Narrow"/>
                <w:b/>
                <w:snapToGrid w:val="0"/>
                <w:color w:val="000000"/>
                <w:sz w:val="16"/>
                <w:szCs w:val="16"/>
              </w:rPr>
              <w:t xml:space="preserve">αγαθών </w:t>
            </w:r>
            <w:r w:rsidRPr="00472EC7">
              <w:rPr>
                <w:rFonts w:ascii="Arial Narrow" w:hAnsi="Arial Narrow"/>
                <w:b/>
                <w:snapToGrid w:val="0"/>
                <w:color w:val="000000"/>
                <w:sz w:val="16"/>
                <w:szCs w:val="16"/>
              </w:rPr>
              <w:t>( I.Α.1 -  I.Α.2)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-20.776,0</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-22.252,2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-17.231,2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-14.370,8</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-11.395,7</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-10.732,6</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Ισοζύγιο καυσίμων</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-6.913,5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-6.275,4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-4.208,1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-3.799,5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-2.935,9</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-1.454,1</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Ισοζύγιο αγαθών χωρίς καύσιμα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-13.862,5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-15.976,8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-13.023,1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-10.571,3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-8.459,7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-9.278,5</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Ισοζύγιο πλοίων</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-1.479,0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-2.145,9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-431,2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-1.758,9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-362,8</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-105,7</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Ισοζύγιο αγαθών χωρίς πλοία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-19.297,0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-20.106,3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-16.800,0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-12.611,8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-11.032,9</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-10.627,0</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Ισοζύγιο αγαθών χωρίς καύσιμα και πλοία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-12.383,6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-13.830,9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-12.591,9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-8.812,4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-8.097,0</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-9.172,8</w:t>
            </w:r>
          </w:p>
        </w:tc>
      </w:tr>
      <w:tr w:rsidR="008932E1" w:rsidRPr="00251705"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I.A.1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Εξαγωγές  αγαθών</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26.895,6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26.788,0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24.787,2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17.648,1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16.626,4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15.629,4</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Καύσιμα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9.485,1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9.049,8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6.713,7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6.167,2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4.545,7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3.716,0</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Πλοία (</w:t>
            </w:r>
            <w:r>
              <w:rPr>
                <w:rFonts w:ascii="Arial Narrow" w:hAnsi="Arial Narrow"/>
                <w:snapToGrid w:val="0"/>
                <w:color w:val="000000"/>
                <w:sz w:val="16"/>
                <w:szCs w:val="16"/>
              </w:rPr>
              <w:t>πωλήσεις</w:t>
            </w:r>
            <w:r w:rsidRPr="00472EC7">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443,0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626,0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175,5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411,8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158,3</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123,3</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w:t>
            </w:r>
            <w:r w:rsidRPr="00472EC7">
              <w:rPr>
                <w:rFonts w:ascii="Arial Narrow" w:hAnsi="Arial Narrow"/>
                <w:snapToGrid w:val="0"/>
                <w:color w:val="000000"/>
                <w:sz w:val="16"/>
                <w:szCs w:val="16"/>
              </w:rPr>
              <w:t>γαθά</w:t>
            </w:r>
            <w:r>
              <w:rPr>
                <w:rFonts w:ascii="Arial Narrow" w:hAnsi="Arial Narrow"/>
                <w:snapToGrid w:val="0"/>
                <w:color w:val="000000"/>
                <w:sz w:val="16"/>
                <w:szCs w:val="16"/>
              </w:rPr>
              <w:t xml:space="preserve"> χωρίς καύσιμα και πλοία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16.967,6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17.112,1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17.898,0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11.069,1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11.922,4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11.790,2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I.A.2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Εισαγωγές  αγαθών</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47.671,6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49.040,2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42.018,4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32.018,9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28.022,1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26.362,0</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Καύσιμα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16.398,5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15.325,2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10.921,8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9.966,7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7.481,6</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5.170,1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Πλοία (</w:t>
            </w:r>
            <w:r>
              <w:rPr>
                <w:rFonts w:ascii="Arial Narrow" w:hAnsi="Arial Narrow"/>
                <w:snapToGrid w:val="0"/>
                <w:color w:val="000000"/>
                <w:sz w:val="16"/>
                <w:szCs w:val="16"/>
              </w:rPr>
              <w:t>αγορές</w:t>
            </w:r>
            <w:r w:rsidRPr="00472EC7">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1.921,9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2.771,9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606,7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2.170,7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521,1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228,9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w:t>
            </w:r>
            <w:r w:rsidRPr="00472EC7">
              <w:rPr>
                <w:rFonts w:ascii="Arial Narrow" w:hAnsi="Arial Narrow"/>
                <w:snapToGrid w:val="0"/>
                <w:color w:val="000000"/>
                <w:sz w:val="16"/>
                <w:szCs w:val="16"/>
              </w:rPr>
              <w:t>γαθά</w:t>
            </w:r>
            <w:r>
              <w:rPr>
                <w:rFonts w:ascii="Arial Narrow" w:hAnsi="Arial Narrow"/>
                <w:snapToGrid w:val="0"/>
                <w:color w:val="000000"/>
                <w:sz w:val="16"/>
                <w:szCs w:val="16"/>
              </w:rPr>
              <w:t xml:space="preserve"> χωρίς καύσιμα και πλοία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29.351,1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30.943,0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30.489,9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19.881,5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20.019,4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20.963,0</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Ι.Β</w:t>
            </w:r>
            <w:r w:rsidRPr="00472EC7">
              <w:rPr>
                <w:rFonts w:ascii="Arial Narrow" w:hAnsi="Arial Narrow"/>
                <w:b/>
                <w:snapToGrid w:val="0"/>
                <w:color w:val="000000"/>
                <w:sz w:val="16"/>
                <w:szCs w:val="16"/>
              </w:rPr>
              <w:tab/>
              <w:t>Ισοζύγιο υπηρεσιών ( I.Β.1 -  I.Β.2)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15.749,4</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18.273,2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16.932,4</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12.945,2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12.804,9</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10.857,9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I.B.1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28.045,8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31.051,3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27.919,2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21.313,1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20.674,3</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17.208,2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Ταξιδιωτικό</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12.152,2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13.393,1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14.125,8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9.749,2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10.605,8</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9.853,0</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Μεταφορές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12.060,9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13.130,8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9.968,3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8.494,6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7.466,1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4.968,1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Λοιπές υπηρεσίες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3.832,7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4.527,4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3.825,0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3.069,2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2.602,4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2.387,1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I.B.2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12.296,4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12.778,1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10.986,8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8.367,9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7.869,4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6.350,4</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Ταξιδιωτικό</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1.835,2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2.076,4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2.037,4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1.360,3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1.354,9</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1.419,1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Μεταφορές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6.492,2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6.258,6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5.430,0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4.075,5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3.990,8</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2.873,2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Λοιπές υπηρεσίες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3.969,1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4.443,1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3.519,4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2.932,0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2.523,7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2.058,0</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Ι.Γ</w:t>
            </w:r>
            <w:r w:rsidRPr="00472EC7">
              <w:rPr>
                <w:rFonts w:ascii="Arial Narrow" w:hAnsi="Arial Narrow"/>
                <w:b/>
                <w:snapToGrid w:val="0"/>
                <w:color w:val="000000"/>
                <w:sz w:val="16"/>
                <w:szCs w:val="16"/>
              </w:rPr>
              <w:tab/>
              <w:t xml:space="preserve">Ισοζύγιο </w:t>
            </w:r>
            <w:r>
              <w:rPr>
                <w:rFonts w:ascii="Arial Narrow" w:hAnsi="Arial Narrow"/>
                <w:b/>
                <w:snapToGrid w:val="0"/>
                <w:color w:val="000000"/>
                <w:sz w:val="16"/>
                <w:szCs w:val="16"/>
              </w:rPr>
              <w:t xml:space="preserve">πρωτογενών </w:t>
            </w:r>
            <w:r w:rsidRPr="00472EC7">
              <w:rPr>
                <w:rFonts w:ascii="Arial Narrow" w:hAnsi="Arial Narrow"/>
                <w:b/>
                <w:snapToGrid w:val="0"/>
                <w:color w:val="000000"/>
                <w:sz w:val="16"/>
                <w:szCs w:val="16"/>
              </w:rPr>
              <w:t>εισοδημάτων  (I.Γ.1 -  I.Γ.2)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-457,0</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1.401,2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1.026,2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821,5</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94,4</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467,1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 xml:space="preserve">I.Γ.1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6.458,1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8.458,3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7.519,2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5.336,3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5.151,7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4.819,2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εργασία (α</w:t>
            </w:r>
            <w:r w:rsidRPr="00472EC7">
              <w:rPr>
                <w:rFonts w:ascii="Arial Narrow" w:hAnsi="Arial Narrow"/>
                <w:snapToGrid w:val="0"/>
                <w:color w:val="000000"/>
                <w:sz w:val="16"/>
                <w:szCs w:val="16"/>
              </w:rPr>
              <w:t>μοιβές, μισθοί</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209,3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209,9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153,8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139,4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114,9</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86,9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επενδύσεις (τ</w:t>
            </w:r>
            <w:r w:rsidRPr="00472EC7">
              <w:rPr>
                <w:rFonts w:ascii="Arial Narrow" w:hAnsi="Arial Narrow"/>
                <w:snapToGrid w:val="0"/>
                <w:color w:val="000000"/>
                <w:sz w:val="16"/>
                <w:szCs w:val="16"/>
              </w:rPr>
              <w:t>όκοι, μερίσματα, κέρδη</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3.213,7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4.832,4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4.200,8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2.350,4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2.840,1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2.297,7</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Λοιπά πρωτογενή εισοδήματα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3.035,1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3.416,1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3.164,6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2.846,5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2.196,7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2.434,6</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 xml:space="preserve">I.Γ.2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6.915,1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7.057,1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6.493,0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4.514,8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5.057,3</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4.352,0</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εργασία (α</w:t>
            </w:r>
            <w:r w:rsidRPr="00472EC7">
              <w:rPr>
                <w:rFonts w:ascii="Arial Narrow" w:hAnsi="Arial Narrow"/>
                <w:snapToGrid w:val="0"/>
                <w:color w:val="000000"/>
                <w:sz w:val="16"/>
                <w:szCs w:val="16"/>
              </w:rPr>
              <w:t>μοιβές, μισθοί</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453,0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491,7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379,4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294,2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316,5</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150,8</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επενδύσεις (τ</w:t>
            </w:r>
            <w:r w:rsidRPr="00472EC7">
              <w:rPr>
                <w:rFonts w:ascii="Arial Narrow" w:hAnsi="Arial Narrow"/>
                <w:snapToGrid w:val="0"/>
                <w:color w:val="000000"/>
                <w:sz w:val="16"/>
                <w:szCs w:val="16"/>
              </w:rPr>
              <w:t>όκοι, μερίσματα, κέρδη</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6.097,1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6.202,9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5.814,5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3.979,8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4.517,3</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3.908,5</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Λοιπά πρωτογενή εισοδήματα</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365,0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362,6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299,1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240,8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223,4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292,8</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Ι.Δ</w:t>
            </w:r>
            <w:r w:rsidRPr="00472EC7">
              <w:rPr>
                <w:rFonts w:ascii="Arial Narrow" w:hAnsi="Arial Narrow"/>
                <w:b/>
                <w:snapToGrid w:val="0"/>
                <w:color w:val="000000"/>
                <w:sz w:val="16"/>
                <w:szCs w:val="16"/>
              </w:rPr>
              <w:tab/>
              <w:t xml:space="preserve">Ισοζύγιο </w:t>
            </w:r>
            <w:r>
              <w:rPr>
                <w:rFonts w:ascii="Arial Narrow" w:hAnsi="Arial Narrow"/>
                <w:b/>
                <w:snapToGrid w:val="0"/>
                <w:color w:val="000000"/>
                <w:sz w:val="16"/>
                <w:szCs w:val="16"/>
              </w:rPr>
              <w:t xml:space="preserve">δευτερογενών εισοδημάτων </w:t>
            </w:r>
            <w:r w:rsidRPr="00472EC7">
              <w:rPr>
                <w:rFonts w:ascii="Arial Narrow" w:hAnsi="Arial Narrow"/>
                <w:b/>
                <w:snapToGrid w:val="0"/>
                <w:color w:val="000000"/>
                <w:sz w:val="16"/>
                <w:szCs w:val="16"/>
              </w:rPr>
              <w:t>(I.Δ.1 - I.Δ.2)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1.796,1</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-334,7</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-521,5</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137,3</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-513,2</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-161,9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I.Δ.1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4.652,8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2.550,7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1.909,7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2.024,4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1.325,4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1.298,4</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3.375,5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1.441,7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1.054,9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1.251,8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732,2</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811,5</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Λοιποί τομείς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1.277,3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1.109,0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854,9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772,6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593,2</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486,9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I.Δ.2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2.856,7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2.885,5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2.431,2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1.887,1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1.838,7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1.460,3</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2.068,1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2.054,7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1.695,0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1.364,5</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1.266,1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1.104,4</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Λοιποί τομείς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788,6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830,8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736,2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522,6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572,6</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355,9</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i/>
                <w:snapToGrid w:val="0"/>
                <w:color w:val="000000"/>
                <w:sz w:val="16"/>
                <w:szCs w:val="16"/>
              </w:rPr>
            </w:pPr>
            <w:r w:rsidRPr="00472EC7">
              <w:rPr>
                <w:rFonts w:ascii="Arial Narrow" w:hAnsi="Arial Narrow"/>
                <w:b/>
                <w:snapToGrid w:val="0"/>
                <w:color w:val="000000"/>
                <w:sz w:val="16"/>
                <w:szCs w:val="16"/>
              </w:rPr>
              <w:t>IΙ.</w:t>
            </w:r>
            <w:r w:rsidRPr="00472EC7">
              <w:rPr>
                <w:rFonts w:ascii="Arial Narrow" w:hAnsi="Arial Narrow"/>
                <w:b/>
                <w:snapToGrid w:val="0"/>
                <w:color w:val="000000"/>
                <w:sz w:val="16"/>
                <w:szCs w:val="16"/>
              </w:rPr>
              <w:tab/>
              <w:t>Ισοζύγιο κεφαλα</w:t>
            </w:r>
            <w:r>
              <w:rPr>
                <w:rFonts w:ascii="Arial Narrow" w:hAnsi="Arial Narrow"/>
                <w:b/>
                <w:snapToGrid w:val="0"/>
                <w:color w:val="000000"/>
                <w:sz w:val="16"/>
                <w:szCs w:val="16"/>
              </w:rPr>
              <w:t xml:space="preserve">ίων </w:t>
            </w:r>
            <w:r w:rsidRPr="00472EC7">
              <w:rPr>
                <w:rFonts w:ascii="Arial Narrow" w:hAnsi="Arial Narrow"/>
                <w:b/>
                <w:snapToGrid w:val="0"/>
                <w:color w:val="000000"/>
                <w:sz w:val="16"/>
                <w:szCs w:val="16"/>
              </w:rPr>
              <w:t>(ΙΙ.1-ΙΙ.2)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3.040,8</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2.510,6</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1.988,6</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1.845,9</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614,4</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637,9</w:t>
            </w:r>
          </w:p>
        </w:tc>
      </w:tr>
      <w:tr w:rsidR="008932E1" w:rsidRPr="00472EC7" w:rsidTr="00171286">
        <w:trPr>
          <w:cantSplit/>
          <w:jc w:val="center"/>
        </w:trPr>
        <w:tc>
          <w:tcPr>
            <w:tcW w:w="4283" w:type="dxa"/>
            <w:tcBorders>
              <w:top w:val="nil"/>
              <w:bottom w:val="nil"/>
              <w:right w:val="nil"/>
            </w:tcBorders>
            <w:shd w:val="clear" w:color="auto" w:fill="auto"/>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IΙ.1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3.380,6</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2.866,2</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2.369,5</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2.036,0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827,5</w:t>
            </w:r>
          </w:p>
        </w:tc>
        <w:tc>
          <w:tcPr>
            <w:tcW w:w="779" w:type="dxa"/>
            <w:tcBorders>
              <w:top w:val="nil"/>
              <w:left w:val="nil"/>
              <w:bottom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788,1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3.298,9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2.789,8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2.319,3</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1.987,6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791,9</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753,8</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Λοιποί τομείς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81,7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76,4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50,2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48,4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35,6</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34,2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IΙ.2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339,8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355,6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380,9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190,1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213,1</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150,2</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Γ</w:t>
            </w:r>
            <w:r>
              <w:rPr>
                <w:rFonts w:ascii="Arial Narrow" w:hAnsi="Arial Narrow"/>
                <w:snapToGrid w:val="0"/>
                <w:color w:val="000000"/>
                <w:sz w:val="16"/>
                <w:szCs w:val="16"/>
              </w:rPr>
              <w:t>ενική 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3,7</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Λοιποί τομείς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330,1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346,7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376,8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182,9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209,4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149,0</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ind w:left="426" w:hanging="426"/>
              <w:rPr>
                <w:rFonts w:ascii="Arial Narrow" w:hAnsi="Arial Narrow"/>
                <w:b/>
                <w:i/>
                <w:snapToGrid w:val="0"/>
                <w:color w:val="000000"/>
                <w:sz w:val="16"/>
                <w:szCs w:val="16"/>
              </w:rPr>
            </w:pPr>
            <w:r w:rsidRPr="00472EC7">
              <w:rPr>
                <w:rFonts w:ascii="Arial Narrow" w:hAnsi="Arial Narrow"/>
                <w:b/>
                <w:snapToGrid w:val="0"/>
                <w:color w:val="000000"/>
                <w:sz w:val="16"/>
                <w:szCs w:val="16"/>
              </w:rPr>
              <w:tab/>
              <w:t>Ισοζύγιο τρεχουσών συναλλαγών και κεφαλα</w:t>
            </w:r>
            <w:r>
              <w:rPr>
                <w:rFonts w:ascii="Arial Narrow" w:hAnsi="Arial Narrow"/>
                <w:b/>
                <w:snapToGrid w:val="0"/>
                <w:color w:val="000000"/>
                <w:sz w:val="16"/>
                <w:szCs w:val="16"/>
              </w:rPr>
              <w:t>ίων</w:t>
            </w:r>
            <w:r w:rsidRPr="00472EC7">
              <w:rPr>
                <w:rFonts w:ascii="Arial Narrow" w:hAnsi="Arial Narrow"/>
                <w:b/>
                <w:snapToGrid w:val="0"/>
                <w:color w:val="000000"/>
                <w:sz w:val="16"/>
                <w:szCs w:val="16"/>
              </w:rPr>
              <w:t xml:space="preserve"> (Ι + ΙΙ)</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-646,8</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-402,0</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2.194,4</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1.379,2</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1.604,8</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i/>
                <w:iCs/>
                <w:sz w:val="16"/>
                <w:szCs w:val="16"/>
              </w:rPr>
            </w:pPr>
            <w:r w:rsidRPr="00816A12">
              <w:rPr>
                <w:rFonts w:ascii="Arial Narrow" w:hAnsi="Arial Narrow" w:cs="Arial"/>
                <w:b/>
                <w:bCs/>
                <w:i/>
                <w:iCs/>
                <w:sz w:val="16"/>
                <w:szCs w:val="16"/>
              </w:rPr>
              <w:t>1.068,3</w:t>
            </w:r>
          </w:p>
        </w:tc>
      </w:tr>
      <w:tr w:rsidR="008932E1" w:rsidRPr="00472EC7" w:rsidTr="00171286">
        <w:trPr>
          <w:cantSplit/>
          <w:jc w:val="center"/>
        </w:trPr>
        <w:tc>
          <w:tcPr>
            <w:tcW w:w="4283" w:type="dxa"/>
            <w:tcBorders>
              <w:top w:val="nil"/>
              <w:bottom w:val="nil"/>
              <w:right w:val="nil"/>
            </w:tcBorders>
            <w:shd w:val="clear" w:color="auto" w:fill="A6A6A6"/>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IΙΙ.</w:t>
            </w:r>
            <w:r w:rsidRPr="00472EC7">
              <w:rPr>
                <w:rFonts w:ascii="Arial Narrow" w:hAnsi="Arial Narrow"/>
                <w:b/>
                <w:snapToGrid w:val="0"/>
                <w:color w:val="000000"/>
                <w:sz w:val="16"/>
                <w:szCs w:val="16"/>
              </w:rPr>
              <w:tab/>
              <w:t>Ισοζύγιο χρηματοοικον</w:t>
            </w:r>
            <w:r>
              <w:rPr>
                <w:rFonts w:ascii="Arial Narrow" w:hAnsi="Arial Narrow"/>
                <w:b/>
                <w:snapToGrid w:val="0"/>
                <w:color w:val="000000"/>
                <w:sz w:val="16"/>
                <w:szCs w:val="16"/>
              </w:rPr>
              <w:t>ομικ</w:t>
            </w:r>
            <w:r w:rsidRPr="00472EC7">
              <w:rPr>
                <w:rFonts w:ascii="Arial Narrow" w:hAnsi="Arial Narrow"/>
                <w:b/>
                <w:snapToGrid w:val="0"/>
                <w:color w:val="000000"/>
                <w:sz w:val="16"/>
                <w:szCs w:val="16"/>
              </w:rPr>
              <w:t>. συν/γών (I</w:t>
            </w:r>
            <w:r>
              <w:rPr>
                <w:rFonts w:ascii="Arial Narrow" w:hAnsi="Arial Narrow"/>
                <w:b/>
                <w:snapToGrid w:val="0"/>
                <w:color w:val="000000"/>
                <w:sz w:val="16"/>
                <w:szCs w:val="16"/>
              </w:rPr>
              <w:t>ΙΙ</w:t>
            </w:r>
            <w:r w:rsidRPr="00472EC7">
              <w:rPr>
                <w:rFonts w:ascii="Arial Narrow" w:hAnsi="Arial Narrow"/>
                <w:b/>
                <w:snapToGrid w:val="0"/>
                <w:color w:val="000000"/>
                <w:sz w:val="16"/>
                <w:szCs w:val="16"/>
              </w:rPr>
              <w:t>.Α+Ι</w:t>
            </w:r>
            <w:r>
              <w:rPr>
                <w:rFonts w:ascii="Arial Narrow" w:hAnsi="Arial Narrow"/>
                <w:b/>
                <w:snapToGrid w:val="0"/>
                <w:color w:val="000000"/>
                <w:sz w:val="16"/>
                <w:szCs w:val="16"/>
              </w:rPr>
              <w:t>ΙΙ.Β+ΙΙΙ.Γ+ΙΙΙ</w:t>
            </w:r>
            <w:r w:rsidRPr="00472EC7">
              <w:rPr>
                <w:rFonts w:ascii="Arial Narrow" w:hAnsi="Arial Narrow"/>
                <w:b/>
                <w:snapToGrid w:val="0"/>
                <w:color w:val="000000"/>
                <w:sz w:val="16"/>
                <w:szCs w:val="16"/>
              </w:rPr>
              <w:t>.Δ)</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2.562,5</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1.461,7</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3.430,3</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2.783,9</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1.853,5</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923,1</w:t>
            </w:r>
          </w:p>
        </w:tc>
      </w:tr>
      <w:tr w:rsidR="008932E1" w:rsidRPr="00472EC7" w:rsidTr="00171286">
        <w:trPr>
          <w:cantSplit/>
          <w:jc w:val="center"/>
        </w:trPr>
        <w:tc>
          <w:tcPr>
            <w:tcW w:w="4283" w:type="dxa"/>
            <w:tcBorders>
              <w:top w:val="nil"/>
              <w:bottom w:val="nil"/>
              <w:right w:val="nil"/>
            </w:tcBorders>
            <w:shd w:val="clear" w:color="auto" w:fill="auto"/>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5F7CB3">
              <w:rPr>
                <w:rFonts w:ascii="Arial Narrow" w:hAnsi="Arial Narrow"/>
                <w:snapToGrid w:val="0"/>
                <w:color w:val="000000"/>
                <w:sz w:val="16"/>
                <w:szCs w:val="16"/>
              </w:rPr>
              <w:t>IΙΙ.Α</w:t>
            </w: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Pr>
                <w:rFonts w:ascii="Arial Narrow" w:hAnsi="Arial Narrow"/>
                <w:b/>
                <w:snapToGrid w:val="0"/>
                <w:color w:val="000000"/>
                <w:sz w:val="16"/>
                <w:szCs w:val="16"/>
              </w:rPr>
              <w:t>Άμεσες επενδύσεις</w:t>
            </w:r>
            <w:r w:rsidRPr="00472EC7">
              <w:rPr>
                <w:rFonts w:ascii="Arial Narrow" w:hAnsi="Arial Narrow"/>
                <w:b/>
                <w:snapToGrid w:val="0"/>
                <w:color w:val="000000"/>
                <w:sz w:val="16"/>
                <w:szCs w:val="16"/>
              </w:rPr>
              <w:t>*</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-2.713,6</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250,1</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889,8</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-539,0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631,2</w:t>
            </w:r>
          </w:p>
        </w:tc>
        <w:tc>
          <w:tcPr>
            <w:tcW w:w="779" w:type="dxa"/>
            <w:tcBorders>
              <w:top w:val="nil"/>
              <w:left w:val="nil"/>
              <w:bottom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-2.289,0</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Pr>
                <w:rFonts w:ascii="Arial Narrow" w:hAnsi="Arial Narrow"/>
                <w:snapToGrid w:val="0"/>
                <w:color w:val="000000"/>
                <w:sz w:val="16"/>
                <w:szCs w:val="16"/>
              </w:rPr>
              <w:t>Απαιτήσεις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-534,2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2.275,9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1.921,7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409,2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1.315,6</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-923,3</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2.179,4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2.025,8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1.032,0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948,2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684,3</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1.365,7</w:t>
            </w:r>
          </w:p>
        </w:tc>
      </w:tr>
      <w:tr w:rsidR="008932E1" w:rsidRPr="00472EC7" w:rsidTr="00171286">
        <w:trPr>
          <w:cantSplit/>
          <w:jc w:val="center"/>
        </w:trPr>
        <w:tc>
          <w:tcPr>
            <w:tcW w:w="4283" w:type="dxa"/>
            <w:tcBorders>
              <w:top w:val="nil"/>
              <w:bottom w:val="nil"/>
              <w:right w:val="nil"/>
            </w:tcBorders>
            <w:shd w:val="clear" w:color="auto" w:fill="auto"/>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sidRPr="005F7CB3">
              <w:rPr>
                <w:rFonts w:ascii="Arial Narrow" w:hAnsi="Arial Narrow"/>
                <w:snapToGrid w:val="0"/>
                <w:color w:val="000000"/>
                <w:sz w:val="16"/>
                <w:szCs w:val="16"/>
              </w:rPr>
              <w:t>IΙΙ.Β</w:t>
            </w: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Επενδύσεις χαρτοφυλακίου*</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6.583,1</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6.978,0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8.348,3</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1.102,0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6.657,6</w:t>
            </w:r>
          </w:p>
        </w:tc>
        <w:tc>
          <w:tcPr>
            <w:tcW w:w="779" w:type="dxa"/>
            <w:tcBorders>
              <w:top w:val="nil"/>
              <w:left w:val="nil"/>
              <w:bottom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7.669,4</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Απαιτήσεις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-1.023,6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8.910,1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6.996,0</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5.442,7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-3.197,8</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5.616,5</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-7.606,7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1.932,1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-1.352,4</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4.340,7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-9.855,4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-2.052,8</w:t>
            </w:r>
          </w:p>
        </w:tc>
      </w:tr>
      <w:tr w:rsidR="008932E1" w:rsidRPr="00472EC7" w:rsidTr="00171286">
        <w:trPr>
          <w:cantSplit/>
          <w:jc w:val="center"/>
        </w:trPr>
        <w:tc>
          <w:tcPr>
            <w:tcW w:w="4283" w:type="dxa"/>
            <w:tcBorders>
              <w:top w:val="nil"/>
              <w:bottom w:val="nil"/>
              <w:right w:val="nil"/>
            </w:tcBorders>
            <w:shd w:val="clear" w:color="auto" w:fill="auto"/>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Pr>
                <w:rFonts w:ascii="Arial Narrow" w:hAnsi="Arial Narrow"/>
                <w:snapToGrid w:val="0"/>
                <w:color w:val="000000"/>
                <w:sz w:val="16"/>
                <w:szCs w:val="16"/>
              </w:rPr>
              <w:t>ΙΙΙ</w:t>
            </w:r>
            <w:r w:rsidRPr="00472EC7">
              <w:rPr>
                <w:rFonts w:ascii="Arial Narrow" w:hAnsi="Arial Narrow"/>
                <w:snapToGrid w:val="0"/>
                <w:color w:val="000000"/>
                <w:sz w:val="16"/>
                <w:szCs w:val="16"/>
              </w:rPr>
              <w:t>.Γ</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Λοιπές επενδύσεις*</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-1.414,0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-6.222,5</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-6.162,2</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1.820,9</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-5.173,3</w:t>
            </w:r>
          </w:p>
        </w:tc>
        <w:tc>
          <w:tcPr>
            <w:tcW w:w="779" w:type="dxa"/>
            <w:tcBorders>
              <w:top w:val="nil"/>
              <w:left w:val="nil"/>
              <w:bottom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-5.060,8</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Απαιτήσεις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-21.187,9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-6.888,7</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16.699,8</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-5.614,1</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21.502,5</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-9.529,9</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-19.773,9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-666,2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22.861,9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-7.434,9</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26.675,8</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-4.469,1</w:t>
            </w:r>
          </w:p>
        </w:tc>
      </w:tr>
      <w:tr w:rsidR="008932E1" w:rsidRPr="00472EC7" w:rsidTr="00171286">
        <w:trPr>
          <w:cantSplit/>
          <w:jc w:val="center"/>
        </w:trPr>
        <w:tc>
          <w:tcPr>
            <w:tcW w:w="4283" w:type="dxa"/>
            <w:tcBorders>
              <w:top w:val="nil"/>
              <w:bottom w:val="nil"/>
              <w:right w:val="nil"/>
            </w:tcBorders>
            <w:shd w:val="clear" w:color="auto" w:fill="FFFFFF"/>
          </w:tcPr>
          <w:p w:rsidR="008932E1" w:rsidRPr="00472EC7" w:rsidRDefault="008932E1" w:rsidP="00171286">
            <w:pPr>
              <w:tabs>
                <w:tab w:val="left" w:pos="426"/>
              </w:tabs>
              <w:spacing w:line="180" w:lineRule="exact"/>
              <w:rPr>
                <w:rFonts w:ascii="Arial Narrow" w:hAnsi="Arial Narrow"/>
                <w:i/>
                <w:snapToGrid w:val="0"/>
                <w:color w:val="000000"/>
                <w:sz w:val="16"/>
                <w:szCs w:val="16"/>
              </w:rPr>
            </w:pPr>
            <w:r w:rsidRPr="00472EC7">
              <w:rPr>
                <w:rFonts w:ascii="Arial Narrow" w:hAnsi="Arial Narrow"/>
                <w:i/>
                <w:snapToGrid w:val="0"/>
                <w:color w:val="000000"/>
                <w:sz w:val="16"/>
                <w:szCs w:val="16"/>
              </w:rPr>
              <w:t xml:space="preserve">        </w:t>
            </w:r>
            <w:r w:rsidRPr="00472EC7">
              <w:rPr>
                <w:rFonts w:ascii="Arial Narrow" w:hAnsi="Arial Narrow"/>
                <w:i/>
                <w:snapToGrid w:val="0"/>
                <w:color w:val="000000"/>
                <w:sz w:val="16"/>
                <w:szCs w:val="16"/>
              </w:rPr>
              <w:tab/>
            </w:r>
            <w:r w:rsidRPr="00472EC7">
              <w:rPr>
                <w:rFonts w:ascii="Arial Narrow" w:hAnsi="Arial Narrow"/>
                <w:i/>
                <w:snapToGrid w:val="0"/>
                <w:color w:val="000000"/>
                <w:sz w:val="16"/>
                <w:szCs w:val="16"/>
              </w:rPr>
              <w:tab/>
              <w:t>( Δάνεια γενικής κυβέρνησης )</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30.061,2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4.000,2</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11.921,6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7.165,6</w:t>
            </w:r>
          </w:p>
        </w:tc>
        <w:tc>
          <w:tcPr>
            <w:tcW w:w="802" w:type="dxa"/>
            <w:tcBorders>
              <w:top w:val="nil"/>
              <w:left w:val="nil"/>
              <w:bottom w:val="nil"/>
              <w:right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6.249,4</w:t>
            </w:r>
          </w:p>
        </w:tc>
        <w:tc>
          <w:tcPr>
            <w:tcW w:w="779" w:type="dxa"/>
            <w:tcBorders>
              <w:top w:val="nil"/>
              <w:left w:val="nil"/>
              <w:bottom w:val="nil"/>
            </w:tcBorders>
            <w:shd w:val="clear" w:color="auto" w:fill="FFFFFF"/>
            <w:vAlign w:val="bottom"/>
          </w:tcPr>
          <w:p w:rsidR="008932E1" w:rsidRPr="00816A12" w:rsidRDefault="008932E1" w:rsidP="00171286">
            <w:pPr>
              <w:spacing w:line="180" w:lineRule="exact"/>
              <w:jc w:val="right"/>
              <w:rPr>
                <w:rFonts w:ascii="Arial Narrow" w:hAnsi="Arial Narrow" w:cs="Arial"/>
                <w:sz w:val="16"/>
                <w:szCs w:val="16"/>
              </w:rPr>
            </w:pPr>
            <w:r w:rsidRPr="00816A12">
              <w:rPr>
                <w:rFonts w:ascii="Arial Narrow" w:hAnsi="Arial Narrow" w:cs="Arial"/>
                <w:sz w:val="16"/>
                <w:szCs w:val="16"/>
              </w:rPr>
              <w:t>4.265,3</w:t>
            </w:r>
          </w:p>
        </w:tc>
      </w:tr>
      <w:tr w:rsidR="008932E1" w:rsidRPr="00472EC7" w:rsidTr="00171286">
        <w:trPr>
          <w:cantSplit/>
          <w:jc w:val="center"/>
        </w:trPr>
        <w:tc>
          <w:tcPr>
            <w:tcW w:w="4283" w:type="dxa"/>
            <w:tcBorders>
              <w:top w:val="nil"/>
              <w:bottom w:val="nil"/>
              <w:right w:val="nil"/>
            </w:tcBorders>
            <w:shd w:val="clear" w:color="auto" w:fill="auto"/>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Pr>
                <w:rFonts w:ascii="Arial Narrow" w:hAnsi="Arial Narrow"/>
                <w:snapToGrid w:val="0"/>
                <w:color w:val="000000"/>
                <w:sz w:val="16"/>
                <w:szCs w:val="16"/>
              </w:rPr>
              <w:t>ΙΙΙ</w:t>
            </w:r>
            <w:r w:rsidRPr="00472EC7">
              <w:rPr>
                <w:rFonts w:ascii="Arial Narrow" w:hAnsi="Arial Narrow"/>
                <w:snapToGrid w:val="0"/>
                <w:color w:val="000000"/>
                <w:sz w:val="16"/>
                <w:szCs w:val="16"/>
              </w:rPr>
              <w:t>.Δ</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Μεταβο</w:t>
            </w:r>
            <w:r>
              <w:rPr>
                <w:rFonts w:ascii="Arial Narrow" w:hAnsi="Arial Narrow"/>
                <w:b/>
                <w:snapToGrid w:val="0"/>
                <w:color w:val="000000"/>
                <w:sz w:val="16"/>
                <w:szCs w:val="16"/>
              </w:rPr>
              <w:t>λή συναλλαγματικών διαθεσίμων**</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107,0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456,0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354,4</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400,0</w:t>
            </w:r>
          </w:p>
        </w:tc>
        <w:tc>
          <w:tcPr>
            <w:tcW w:w="802" w:type="dxa"/>
            <w:tcBorders>
              <w:top w:val="nil"/>
              <w:left w:val="nil"/>
              <w:bottom w:val="nil"/>
              <w:right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-262,0</w:t>
            </w:r>
          </w:p>
        </w:tc>
        <w:tc>
          <w:tcPr>
            <w:tcW w:w="779" w:type="dxa"/>
            <w:tcBorders>
              <w:top w:val="nil"/>
              <w:left w:val="nil"/>
              <w:bottom w:val="nil"/>
            </w:tcBorders>
            <w:shd w:val="clear" w:color="auto" w:fill="auto"/>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603,5</w:t>
            </w:r>
          </w:p>
        </w:tc>
      </w:tr>
      <w:tr w:rsidR="008932E1" w:rsidRPr="00472EC7" w:rsidTr="00171286">
        <w:trPr>
          <w:cantSplit/>
          <w:trHeight w:val="20"/>
          <w:jc w:val="center"/>
        </w:trPr>
        <w:tc>
          <w:tcPr>
            <w:tcW w:w="4283" w:type="dxa"/>
            <w:tcBorders>
              <w:top w:val="nil"/>
              <w:bottom w:val="nil"/>
              <w:right w:val="nil"/>
            </w:tcBorders>
            <w:shd w:val="clear" w:color="auto" w:fill="A6A6A6"/>
            <w:vAlign w:val="center"/>
          </w:tcPr>
          <w:p w:rsidR="008932E1" w:rsidRPr="00472EC7" w:rsidRDefault="008932E1" w:rsidP="00171286">
            <w:pPr>
              <w:tabs>
                <w:tab w:val="left" w:pos="426"/>
              </w:tabs>
              <w:spacing w:line="180" w:lineRule="exact"/>
              <w:rPr>
                <w:rFonts w:ascii="Arial Narrow" w:hAnsi="Arial Narrow"/>
                <w:b/>
                <w:snapToGrid w:val="0"/>
                <w:color w:val="000000"/>
                <w:sz w:val="16"/>
                <w:szCs w:val="16"/>
              </w:rPr>
            </w:pPr>
            <w:r>
              <w:rPr>
                <w:rFonts w:ascii="Arial Narrow" w:hAnsi="Arial Narrow"/>
                <w:b/>
                <w:snapToGrid w:val="0"/>
                <w:color w:val="000000"/>
                <w:sz w:val="16"/>
                <w:szCs w:val="16"/>
              </w:rPr>
              <w:t>Ι</w:t>
            </w:r>
            <w:r w:rsidRPr="00472EC7">
              <w:rPr>
                <w:rFonts w:ascii="Arial Narrow" w:hAnsi="Arial Narrow"/>
                <w:b/>
                <w:snapToGrid w:val="0"/>
                <w:color w:val="000000"/>
                <w:sz w:val="16"/>
                <w:szCs w:val="16"/>
              </w:rPr>
              <w:t>V.</w:t>
            </w:r>
            <w:r w:rsidRPr="00472EC7">
              <w:rPr>
                <w:rFonts w:ascii="Arial Narrow" w:hAnsi="Arial Narrow"/>
                <w:b/>
                <w:snapToGrid w:val="0"/>
                <w:color w:val="000000"/>
                <w:sz w:val="16"/>
                <w:szCs w:val="16"/>
              </w:rPr>
              <w:tab/>
              <w:t>Τακτοποιητέα στοιχεία</w:t>
            </w:r>
            <w:r>
              <w:rPr>
                <w:rFonts w:ascii="Arial Narrow" w:hAnsi="Arial Narrow"/>
                <w:b/>
                <w:snapToGrid w:val="0"/>
                <w:color w:val="000000"/>
                <w:sz w:val="16"/>
                <w:szCs w:val="16"/>
              </w:rPr>
              <w:t xml:space="preserve"> (Ι+ΙΙ-</w:t>
            </w:r>
            <w:r w:rsidRPr="00472EC7">
              <w:rPr>
                <w:rFonts w:ascii="Arial Narrow" w:hAnsi="Arial Narrow"/>
                <w:b/>
                <w:snapToGrid w:val="0"/>
                <w:color w:val="000000"/>
                <w:sz w:val="16"/>
                <w:szCs w:val="16"/>
              </w:rPr>
              <w:t>Ι</w:t>
            </w:r>
            <w:r>
              <w:rPr>
                <w:rFonts w:ascii="Arial Narrow" w:hAnsi="Arial Narrow"/>
                <w:b/>
                <w:snapToGrid w:val="0"/>
                <w:color w:val="000000"/>
                <w:sz w:val="16"/>
                <w:szCs w:val="16"/>
              </w:rPr>
              <w:t>ΙΙ</w:t>
            </w:r>
            <w:r w:rsidRPr="00472EC7">
              <w:rPr>
                <w:rFonts w:ascii="Arial Narrow" w:hAnsi="Arial Narrow"/>
                <w:b/>
                <w:snapToGrid w:val="0"/>
                <w:color w:val="000000"/>
                <w:sz w:val="16"/>
                <w:szCs w:val="16"/>
              </w:rPr>
              <w:t>+</w:t>
            </w:r>
            <w:r>
              <w:rPr>
                <w:rFonts w:ascii="Arial Narrow" w:hAnsi="Arial Narrow"/>
                <w:b/>
                <w:snapToGrid w:val="0"/>
                <w:color w:val="000000"/>
                <w:sz w:val="16"/>
                <w:szCs w:val="16"/>
              </w:rPr>
              <w:t>Ι</w:t>
            </w:r>
            <w:r w:rsidRPr="00472EC7">
              <w:rPr>
                <w:rFonts w:ascii="Arial Narrow" w:hAnsi="Arial Narrow"/>
                <w:b/>
                <w:snapToGrid w:val="0"/>
                <w:color w:val="000000"/>
                <w:sz w:val="16"/>
                <w:szCs w:val="16"/>
              </w:rPr>
              <w:t>V=0)</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3.209,3</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1.863,7</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1.235,9</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1.404,7</w:t>
            </w:r>
          </w:p>
        </w:tc>
        <w:tc>
          <w:tcPr>
            <w:tcW w:w="802" w:type="dxa"/>
            <w:tcBorders>
              <w:top w:val="nil"/>
              <w:left w:val="nil"/>
              <w:bottom w:val="nil"/>
              <w:right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248,7</w:t>
            </w:r>
          </w:p>
        </w:tc>
        <w:tc>
          <w:tcPr>
            <w:tcW w:w="779" w:type="dxa"/>
            <w:tcBorders>
              <w:top w:val="nil"/>
              <w:left w:val="nil"/>
              <w:bottom w:val="nil"/>
            </w:tcBorders>
            <w:shd w:val="clear" w:color="auto" w:fill="A6A6A6"/>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-145,2</w:t>
            </w:r>
          </w:p>
        </w:tc>
      </w:tr>
      <w:tr w:rsidR="008932E1" w:rsidRPr="00472EC7" w:rsidTr="00171286">
        <w:trPr>
          <w:cantSplit/>
          <w:trHeight w:val="20"/>
          <w:jc w:val="center"/>
        </w:trPr>
        <w:tc>
          <w:tcPr>
            <w:tcW w:w="4283" w:type="dxa"/>
            <w:tcBorders>
              <w:top w:val="nil"/>
              <w:bottom w:val="single" w:sz="6" w:space="0" w:color="auto"/>
              <w:right w:val="nil"/>
            </w:tcBorders>
            <w:shd w:val="clear" w:color="auto" w:fill="FFFFFF"/>
            <w:vAlign w:val="center"/>
          </w:tcPr>
          <w:p w:rsidR="008932E1" w:rsidRPr="00472EC7" w:rsidRDefault="008932E1" w:rsidP="00171286">
            <w:pPr>
              <w:tabs>
                <w:tab w:val="left" w:pos="426"/>
              </w:tabs>
              <w:spacing w:line="180" w:lineRule="exact"/>
              <w:rPr>
                <w:rFonts w:ascii="Arial Narrow" w:hAnsi="Arial Narrow"/>
                <w:snapToGrid w:val="0"/>
                <w:color w:val="000000"/>
                <w:sz w:val="16"/>
                <w:szCs w:val="16"/>
              </w:rPr>
            </w:pPr>
            <w:r w:rsidRPr="00472EC7">
              <w:rPr>
                <w:rFonts w:ascii="Arial Narrow" w:hAnsi="Arial Narrow"/>
                <w:snapToGrid w:val="0"/>
                <w:color w:val="000000"/>
                <w:sz w:val="16"/>
                <w:szCs w:val="16"/>
              </w:rPr>
              <w:t>Ύψο</w:t>
            </w:r>
            <w:r>
              <w:rPr>
                <w:rFonts w:ascii="Arial Narrow" w:hAnsi="Arial Narrow"/>
                <w:snapToGrid w:val="0"/>
                <w:color w:val="000000"/>
                <w:sz w:val="16"/>
                <w:szCs w:val="16"/>
              </w:rPr>
              <w:t xml:space="preserve">ς  συναλλαγματικών διαθεσίμων </w:t>
            </w:r>
            <w:r w:rsidRPr="00472EC7">
              <w:rPr>
                <w:rFonts w:ascii="Arial Narrow" w:hAnsi="Arial Narrow"/>
                <w:snapToGrid w:val="0"/>
                <w:color w:val="000000"/>
                <w:sz w:val="16"/>
                <w:szCs w:val="16"/>
              </w:rPr>
              <w:t>**</w:t>
            </w:r>
            <w:r>
              <w:rPr>
                <w:rFonts w:ascii="Arial Narrow" w:hAnsi="Arial Narrow"/>
                <w:snapToGrid w:val="0"/>
                <w:color w:val="000000"/>
                <w:sz w:val="16"/>
                <w:szCs w:val="16"/>
              </w:rPr>
              <w:t>*</w:t>
            </w:r>
          </w:p>
        </w:tc>
        <w:tc>
          <w:tcPr>
            <w:tcW w:w="802" w:type="dxa"/>
            <w:tcBorders>
              <w:top w:val="nil"/>
              <w:left w:val="nil"/>
              <w:bottom w:val="single" w:sz="6" w:space="0" w:color="auto"/>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4.172</w:t>
            </w:r>
          </w:p>
        </w:tc>
        <w:tc>
          <w:tcPr>
            <w:tcW w:w="802" w:type="dxa"/>
            <w:tcBorders>
              <w:top w:val="nil"/>
              <w:left w:val="nil"/>
              <w:bottom w:val="single" w:sz="6" w:space="0" w:color="auto"/>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5.117</w:t>
            </w:r>
          </w:p>
        </w:tc>
        <w:tc>
          <w:tcPr>
            <w:tcW w:w="802" w:type="dxa"/>
            <w:tcBorders>
              <w:top w:val="nil"/>
              <w:left w:val="nil"/>
              <w:bottom w:val="single" w:sz="6" w:space="0" w:color="auto"/>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5.535</w:t>
            </w:r>
          </w:p>
        </w:tc>
        <w:tc>
          <w:tcPr>
            <w:tcW w:w="802" w:type="dxa"/>
            <w:tcBorders>
              <w:top w:val="nil"/>
              <w:left w:val="nil"/>
              <w:bottom w:val="single" w:sz="6" w:space="0" w:color="auto"/>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4.978</w:t>
            </w:r>
          </w:p>
        </w:tc>
        <w:tc>
          <w:tcPr>
            <w:tcW w:w="802" w:type="dxa"/>
            <w:tcBorders>
              <w:top w:val="nil"/>
              <w:left w:val="nil"/>
              <w:bottom w:val="single" w:sz="6" w:space="0" w:color="auto"/>
              <w:right w:val="nil"/>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5.009</w:t>
            </w:r>
          </w:p>
        </w:tc>
        <w:tc>
          <w:tcPr>
            <w:tcW w:w="779" w:type="dxa"/>
            <w:tcBorders>
              <w:top w:val="nil"/>
              <w:left w:val="nil"/>
              <w:bottom w:val="single" w:sz="6" w:space="0" w:color="auto"/>
            </w:tcBorders>
            <w:shd w:val="clear" w:color="auto" w:fill="FFFFFF"/>
            <w:vAlign w:val="bottom"/>
          </w:tcPr>
          <w:p w:rsidR="008932E1" w:rsidRPr="00816A12" w:rsidRDefault="008932E1" w:rsidP="00171286">
            <w:pPr>
              <w:spacing w:line="180" w:lineRule="exact"/>
              <w:jc w:val="right"/>
              <w:rPr>
                <w:rFonts w:ascii="Arial Narrow" w:hAnsi="Arial Narrow" w:cs="Arial"/>
                <w:b/>
                <w:bCs/>
                <w:sz w:val="16"/>
                <w:szCs w:val="16"/>
              </w:rPr>
            </w:pPr>
            <w:r w:rsidRPr="00816A12">
              <w:rPr>
                <w:rFonts w:ascii="Arial Narrow" w:hAnsi="Arial Narrow" w:cs="Arial"/>
                <w:b/>
                <w:bCs/>
                <w:sz w:val="16"/>
                <w:szCs w:val="16"/>
              </w:rPr>
              <w:t>6.797</w:t>
            </w:r>
          </w:p>
        </w:tc>
      </w:tr>
    </w:tbl>
    <w:p w:rsidR="008932E1" w:rsidRPr="00472EC7" w:rsidRDefault="008932E1" w:rsidP="008932E1">
      <w:pPr>
        <w:tabs>
          <w:tab w:val="left" w:pos="360"/>
          <w:tab w:val="left" w:pos="720"/>
          <w:tab w:val="left" w:pos="1620"/>
          <w:tab w:val="left" w:pos="1980"/>
        </w:tabs>
        <w:spacing w:line="140" w:lineRule="exact"/>
        <w:rPr>
          <w:rFonts w:ascii="Arial Narrow" w:hAnsi="Arial Narrow"/>
          <w:snapToGrid w:val="0"/>
          <w:color w:val="000000"/>
          <w:sz w:val="16"/>
          <w:szCs w:val="16"/>
        </w:rPr>
      </w:pPr>
      <w:r w:rsidRPr="00472EC7">
        <w:rPr>
          <w:rFonts w:ascii="Arial Narrow" w:hAnsi="Arial Narrow"/>
          <w:snapToGrid w:val="0"/>
          <w:color w:val="000000"/>
          <w:sz w:val="16"/>
          <w:szCs w:val="16"/>
        </w:rPr>
        <w:t>*</w:t>
      </w:r>
      <w:r w:rsidRPr="00472EC7">
        <w:rPr>
          <w:rFonts w:ascii="Arial Narrow" w:hAnsi="Arial Narrow"/>
          <w:snapToGrid w:val="0"/>
          <w:color w:val="000000"/>
          <w:sz w:val="16"/>
          <w:szCs w:val="16"/>
        </w:rPr>
        <w:tab/>
        <w:t>( + )</w:t>
      </w:r>
      <w:r w:rsidRPr="00472EC7">
        <w:rPr>
          <w:rFonts w:ascii="Arial Narrow" w:hAnsi="Arial Narrow"/>
          <w:snapToGrid w:val="0"/>
          <w:color w:val="000000"/>
          <w:sz w:val="16"/>
          <w:szCs w:val="16"/>
        </w:rPr>
        <w:tab/>
      </w:r>
      <w:r>
        <w:rPr>
          <w:rFonts w:ascii="Arial Narrow" w:hAnsi="Arial Narrow"/>
          <w:snapToGrid w:val="0"/>
          <w:color w:val="000000"/>
          <w:sz w:val="16"/>
          <w:szCs w:val="16"/>
        </w:rPr>
        <w:t>αύξηση</w:t>
      </w:r>
      <w:r w:rsidRPr="00472EC7">
        <w:rPr>
          <w:rFonts w:ascii="Arial Narrow" w:hAnsi="Arial Narrow"/>
          <w:snapToGrid w:val="0"/>
          <w:color w:val="000000"/>
          <w:sz w:val="16"/>
          <w:szCs w:val="16"/>
        </w:rPr>
        <w:tab/>
        <w:t>( - )</w:t>
      </w:r>
      <w:r w:rsidRPr="00472EC7">
        <w:rPr>
          <w:rFonts w:ascii="Arial Narrow" w:hAnsi="Arial Narrow"/>
          <w:snapToGrid w:val="0"/>
          <w:color w:val="000000"/>
          <w:sz w:val="16"/>
          <w:szCs w:val="16"/>
        </w:rPr>
        <w:tab/>
      </w:r>
      <w:r>
        <w:rPr>
          <w:rFonts w:ascii="Arial Narrow" w:hAnsi="Arial Narrow"/>
          <w:snapToGrid w:val="0"/>
          <w:color w:val="000000"/>
          <w:sz w:val="16"/>
          <w:szCs w:val="16"/>
        </w:rPr>
        <w:t>μείωση (σύμφωνα με τη νέα μεθοδολογία)</w:t>
      </w:r>
    </w:p>
    <w:p w:rsidR="008932E1" w:rsidRPr="00485FD7" w:rsidRDefault="008932E1" w:rsidP="008932E1">
      <w:pPr>
        <w:pStyle w:val="a7"/>
        <w:tabs>
          <w:tab w:val="left" w:pos="360"/>
        </w:tabs>
        <w:spacing w:line="140" w:lineRule="exact"/>
        <w:ind w:left="360" w:hanging="360"/>
        <w:rPr>
          <w:rFonts w:ascii="Arial Narrow" w:hAnsi="Arial Narrow"/>
          <w:sz w:val="16"/>
        </w:rPr>
      </w:pPr>
      <w:r w:rsidRPr="00485FD7">
        <w:rPr>
          <w:rFonts w:ascii="Arial Narrow" w:hAnsi="Arial Narrow"/>
          <w:sz w:val="16"/>
        </w:rPr>
        <w:t>**</w:t>
      </w:r>
      <w:r w:rsidRPr="00485FD7">
        <w:rPr>
          <w:rFonts w:ascii="Arial Narrow" w:hAnsi="Arial Narrow"/>
          <w:sz w:val="16"/>
        </w:rPr>
        <w:tab/>
        <w:t>Τα συναλλαγματικά διαθέσιμα, σύμφωνα με τον ορισμό της Ευρωπαϊκής Κεντρικής Τράπεζας, περιλαμβάνουν μόνο το νομισματικό χρυσό, τη «σ</w:t>
      </w:r>
      <w:r w:rsidRPr="00485FD7">
        <w:rPr>
          <w:rFonts w:ascii="Arial Narrow" w:hAnsi="Arial Narrow"/>
          <w:sz w:val="16"/>
        </w:rPr>
        <w:t>υ</w:t>
      </w:r>
      <w:r w:rsidRPr="00485FD7">
        <w:rPr>
          <w:rFonts w:ascii="Arial Narrow" w:hAnsi="Arial Narrow"/>
          <w:sz w:val="16"/>
        </w:rPr>
        <w:t>ναλλαγματική θέση» στο Διεθνές Νομισματικό Ταμείο, τα «ειδικά τραβηκτικά δικαιώματα» και τις απαιτήσεις της Τράπεζας της Ελλάδος σε ξένο ν</w:t>
      </w:r>
      <w:r w:rsidRPr="00485FD7">
        <w:rPr>
          <w:rFonts w:ascii="Arial Narrow" w:hAnsi="Arial Narrow"/>
          <w:sz w:val="16"/>
        </w:rPr>
        <w:t>ό</w:t>
      </w:r>
      <w:r w:rsidRPr="00485FD7">
        <w:rPr>
          <w:rFonts w:ascii="Arial Narrow" w:hAnsi="Arial Narrow"/>
          <w:sz w:val="16"/>
        </w:rPr>
        <w:t>μισμα έναντι κατοίκων χωρών εκτός της ζώνης του ευρώ. Αντίθετα, δεν περιλαμβάνουν τις απαιτήσεις σε ευρώ έναντι κατοίκων χωρών εκτός της ζ</w:t>
      </w:r>
      <w:r w:rsidRPr="00485FD7">
        <w:rPr>
          <w:rFonts w:ascii="Arial Narrow" w:hAnsi="Arial Narrow"/>
          <w:sz w:val="16"/>
        </w:rPr>
        <w:t>ώ</w:t>
      </w:r>
      <w:r w:rsidRPr="00485FD7">
        <w:rPr>
          <w:rFonts w:ascii="Arial Narrow" w:hAnsi="Arial Narrow"/>
          <w:sz w:val="16"/>
        </w:rPr>
        <w:t>νης του ευρώ, τις απαιτήσεις σε συνάλλαγμα και σε ευρώ έναντι κατοίκων χωρών της ζώνης του ευρώ, και τη συμμετοχή της Τράπεζας της Ελλάδος στο κεφάλαιο και στα συναλλαγματικά διαθέσιμα της ΕΚΤ.</w:t>
      </w:r>
    </w:p>
    <w:p w:rsidR="008932E1" w:rsidRPr="00472EC7" w:rsidRDefault="008932E1" w:rsidP="008932E1">
      <w:pPr>
        <w:pStyle w:val="a6"/>
        <w:spacing w:line="140" w:lineRule="exact"/>
        <w:rPr>
          <w:rFonts w:ascii="Arial Narrow" w:hAnsi="Arial Narrow" w:cs="Times New Roman"/>
        </w:rPr>
      </w:pPr>
      <w:r w:rsidRPr="00472EC7">
        <w:rPr>
          <w:rFonts w:ascii="Arial Narrow" w:hAnsi="Arial Narrow" w:cs="Times New Roman"/>
        </w:rPr>
        <w:t>Πηγή: Τράπεζα της Ελλάδος</w:t>
      </w:r>
    </w:p>
    <w:p w:rsidR="005B754E" w:rsidRPr="00E43B2E" w:rsidRDefault="005B754E" w:rsidP="005B754E">
      <w:pPr>
        <w:pStyle w:val="2"/>
        <w:spacing w:before="0" w:after="0"/>
        <w:jc w:val="both"/>
        <w:rPr>
          <w:sz w:val="22"/>
          <w:szCs w:val="22"/>
        </w:rPr>
      </w:pPr>
      <w:r w:rsidRPr="00E43B2E">
        <w:rPr>
          <w:rFonts w:ascii="Arial Narrow" w:hAnsi="Arial Narrow"/>
          <w:i w:val="0"/>
          <w:color w:val="000080"/>
          <w:sz w:val="24"/>
          <w:szCs w:val="24"/>
        </w:rPr>
        <w:lastRenderedPageBreak/>
        <w:t>Ισοζύγιο χρηματοοικονομικών συναλλαγών</w:t>
      </w:r>
    </w:p>
    <w:p w:rsidR="005B754E" w:rsidRPr="005B754E" w:rsidRDefault="005B754E" w:rsidP="005B754E">
      <w:pPr>
        <w:jc w:val="both"/>
        <w:rPr>
          <w:b/>
          <w:sz w:val="22"/>
          <w:szCs w:val="22"/>
        </w:rPr>
      </w:pPr>
    </w:p>
    <w:p w:rsidR="005B754E" w:rsidRPr="00B32A67" w:rsidRDefault="005B754E" w:rsidP="005B754E">
      <w:pPr>
        <w:jc w:val="both"/>
        <w:rPr>
          <w:sz w:val="22"/>
          <w:szCs w:val="22"/>
        </w:rPr>
      </w:pPr>
      <w:r w:rsidRPr="005B754E">
        <w:rPr>
          <w:sz w:val="22"/>
          <w:szCs w:val="22"/>
        </w:rPr>
        <w:t>Την περίοδο Ιανουαρίου-</w:t>
      </w:r>
      <w:r w:rsidR="003840F1">
        <w:rPr>
          <w:sz w:val="22"/>
          <w:szCs w:val="22"/>
        </w:rPr>
        <w:t>Σεπτεμβρίου</w:t>
      </w:r>
      <w:r w:rsidR="003840F1" w:rsidRPr="005B754E">
        <w:rPr>
          <w:sz w:val="22"/>
          <w:szCs w:val="22"/>
        </w:rPr>
        <w:t xml:space="preserve"> </w:t>
      </w:r>
      <w:r w:rsidRPr="005B754E">
        <w:rPr>
          <w:sz w:val="22"/>
          <w:szCs w:val="22"/>
        </w:rPr>
        <w:t>2016, οι απαιτήσεις των κατοίκων από άμεσες επενδύσεις στο εξωτερικό μειώθηκαν κατά 923 εκατ. ευρώ, ενώ οι αντίστοιχες υποχρεώσεις, οι οποίες αντιπροσ</w:t>
      </w:r>
      <w:r w:rsidRPr="005B754E">
        <w:rPr>
          <w:sz w:val="22"/>
          <w:szCs w:val="22"/>
        </w:rPr>
        <w:t>ω</w:t>
      </w:r>
      <w:r w:rsidRPr="005B754E">
        <w:rPr>
          <w:sz w:val="22"/>
          <w:szCs w:val="22"/>
        </w:rPr>
        <w:t xml:space="preserve">πεύουν άμεσες επενδύσεις μη κατοίκων στην Ελλάδα, </w:t>
      </w:r>
      <w:r w:rsidR="00C32693">
        <w:rPr>
          <w:sz w:val="22"/>
          <w:szCs w:val="22"/>
        </w:rPr>
        <w:t>παρουσίασαν άνοδο κατά 1,4 δισ</w:t>
      </w:r>
      <w:r w:rsidRPr="005B754E">
        <w:rPr>
          <w:sz w:val="22"/>
          <w:szCs w:val="22"/>
        </w:rPr>
        <w:t>. ευρώ, έναντι ανόδου 684 εκατ. ευρώ την ίδια περίοδο του 2015.</w:t>
      </w:r>
    </w:p>
    <w:p w:rsidR="0057071D" w:rsidRPr="008932E1" w:rsidRDefault="0057071D" w:rsidP="005B754E">
      <w:pPr>
        <w:jc w:val="both"/>
        <w:rPr>
          <w:sz w:val="14"/>
          <w:szCs w:val="22"/>
        </w:rPr>
      </w:pPr>
    </w:p>
    <w:p w:rsidR="005B754E" w:rsidRPr="00B32A67" w:rsidRDefault="005B754E" w:rsidP="005B754E">
      <w:pPr>
        <w:jc w:val="both"/>
        <w:rPr>
          <w:sz w:val="22"/>
          <w:szCs w:val="22"/>
        </w:rPr>
      </w:pPr>
      <w:r w:rsidRPr="005B754E">
        <w:rPr>
          <w:sz w:val="22"/>
          <w:szCs w:val="22"/>
        </w:rPr>
        <w:t>Στην κατηγορία των επενδύσεων χαρτοφυλακίου, οι απαιτήσεις των κατοίκων έναντι του εξωτερικού</w:t>
      </w:r>
      <w:r w:rsidR="00C32693">
        <w:rPr>
          <w:sz w:val="22"/>
          <w:szCs w:val="22"/>
        </w:rPr>
        <w:t xml:space="preserve"> σημείωσαν αύξηση κατά 5,6 δισ</w:t>
      </w:r>
      <w:r w:rsidRPr="005B754E">
        <w:rPr>
          <w:sz w:val="22"/>
          <w:szCs w:val="22"/>
        </w:rPr>
        <w:t xml:space="preserve">. ευρώ, οφειλόμενη </w:t>
      </w:r>
      <w:r w:rsidR="00C32693">
        <w:rPr>
          <w:sz w:val="22"/>
          <w:szCs w:val="22"/>
        </w:rPr>
        <w:t>κυρίως στην άνοδο κατά 7,1 δισ</w:t>
      </w:r>
      <w:r w:rsidRPr="005B754E">
        <w:rPr>
          <w:sz w:val="22"/>
          <w:szCs w:val="22"/>
        </w:rPr>
        <w:t>. ευρώ των τοπ</w:t>
      </w:r>
      <w:r w:rsidRPr="005B754E">
        <w:rPr>
          <w:sz w:val="22"/>
          <w:szCs w:val="22"/>
        </w:rPr>
        <w:t>ο</w:t>
      </w:r>
      <w:r w:rsidRPr="005B754E">
        <w:rPr>
          <w:sz w:val="22"/>
          <w:szCs w:val="22"/>
        </w:rPr>
        <w:t>θετήσεων σε ομόλογα και έντοκα γραμμάτια έκδοσης μη κατοίκων, η οποία αντισταθμίστηκε εν μέ</w:t>
      </w:r>
      <w:r w:rsidR="00C32693">
        <w:rPr>
          <w:sz w:val="22"/>
          <w:szCs w:val="22"/>
        </w:rPr>
        <w:t>ρει από τη μείωση κατά 1,7 δισ</w:t>
      </w:r>
      <w:r w:rsidRPr="005B754E">
        <w:rPr>
          <w:sz w:val="22"/>
          <w:szCs w:val="22"/>
        </w:rPr>
        <w:t>. ευρώ των τοποθετήσεων κατοίκων σε μετοχές επιχειρήσεων του εξωτ</w:t>
      </w:r>
      <w:r w:rsidRPr="005B754E">
        <w:rPr>
          <w:sz w:val="22"/>
          <w:szCs w:val="22"/>
        </w:rPr>
        <w:t>ε</w:t>
      </w:r>
      <w:r w:rsidRPr="005B754E">
        <w:rPr>
          <w:sz w:val="22"/>
          <w:szCs w:val="22"/>
        </w:rPr>
        <w:t>ρικού. Οι υποχρεώσεις των κατοίκων έναντι του εξω</w:t>
      </w:r>
      <w:r w:rsidR="00C32693">
        <w:rPr>
          <w:sz w:val="22"/>
          <w:szCs w:val="22"/>
        </w:rPr>
        <w:t>τερικού μειώθηκαν κατά 2,1 δισ</w:t>
      </w:r>
      <w:r w:rsidRPr="005B754E">
        <w:rPr>
          <w:sz w:val="22"/>
          <w:szCs w:val="22"/>
        </w:rPr>
        <w:t>. ευρώ, κυρίως λόγω της μείωσης των τοποθετήσεων σε ομόλογα και έντοκα γραμμάτια του Ελληνικού Δημοσίου.</w:t>
      </w:r>
    </w:p>
    <w:p w:rsidR="0057071D" w:rsidRPr="008932E1" w:rsidRDefault="0057071D" w:rsidP="005B754E">
      <w:pPr>
        <w:jc w:val="both"/>
        <w:rPr>
          <w:sz w:val="14"/>
          <w:szCs w:val="22"/>
        </w:rPr>
      </w:pPr>
    </w:p>
    <w:p w:rsidR="005B754E" w:rsidRPr="00B32A67" w:rsidRDefault="005B754E" w:rsidP="005B754E">
      <w:pPr>
        <w:jc w:val="both"/>
        <w:rPr>
          <w:sz w:val="22"/>
          <w:szCs w:val="22"/>
        </w:rPr>
      </w:pPr>
      <w:r w:rsidRPr="005B754E">
        <w:rPr>
          <w:sz w:val="22"/>
          <w:szCs w:val="22"/>
        </w:rPr>
        <w:t>Στην κατηγορία των λοιπών επενδύσεων, η μείωση των απαιτήσεων των κατοίκων έναντι του εξωτ</w:t>
      </w:r>
      <w:r w:rsidRPr="005B754E">
        <w:rPr>
          <w:sz w:val="22"/>
          <w:szCs w:val="22"/>
        </w:rPr>
        <w:t>ε</w:t>
      </w:r>
      <w:r w:rsidR="00C32693">
        <w:rPr>
          <w:sz w:val="22"/>
          <w:szCs w:val="22"/>
        </w:rPr>
        <w:t>ρικού κατά 9,5 δισ</w:t>
      </w:r>
      <w:r w:rsidRPr="005B754E">
        <w:rPr>
          <w:sz w:val="22"/>
          <w:szCs w:val="22"/>
        </w:rPr>
        <w:t>. ευρώ αντανακλά σε μεγάλ</w:t>
      </w:r>
      <w:r w:rsidR="00C32693">
        <w:rPr>
          <w:sz w:val="22"/>
          <w:szCs w:val="22"/>
        </w:rPr>
        <w:t>ο βαθμό τη μείωση κατά 6,5 δισ</w:t>
      </w:r>
      <w:r w:rsidRPr="005B754E">
        <w:rPr>
          <w:sz w:val="22"/>
          <w:szCs w:val="22"/>
        </w:rPr>
        <w:t>. ευρώ των τοποθετ</w:t>
      </w:r>
      <w:r w:rsidRPr="005B754E">
        <w:rPr>
          <w:sz w:val="22"/>
          <w:szCs w:val="22"/>
        </w:rPr>
        <w:t>ή</w:t>
      </w:r>
      <w:r w:rsidRPr="005B754E">
        <w:rPr>
          <w:sz w:val="22"/>
          <w:szCs w:val="22"/>
        </w:rPr>
        <w:t xml:space="preserve">σεων των εγχώριων πιστωτικών ιδρυμάτων και θεσμικών επενδυτών σε καταθέσεις και repos στο </w:t>
      </w:r>
      <w:r w:rsidRPr="005B754E">
        <w:rPr>
          <w:sz w:val="22"/>
          <w:szCs w:val="22"/>
        </w:rPr>
        <w:t>ε</w:t>
      </w:r>
      <w:r w:rsidRPr="005B754E">
        <w:rPr>
          <w:sz w:val="22"/>
          <w:szCs w:val="22"/>
        </w:rPr>
        <w:t>ξωτερικό και τη στατιστική προσαρμογή που συνδέεται με την έκδοση τραπεζογραμματίων</w:t>
      </w:r>
      <w:r w:rsidR="0015433B" w:rsidRPr="0015433B">
        <w:rPr>
          <w:sz w:val="22"/>
          <w:szCs w:val="22"/>
        </w:rPr>
        <w:t>.</w:t>
      </w:r>
      <w:r w:rsidRPr="00D54FA4">
        <w:rPr>
          <w:sz w:val="22"/>
          <w:szCs w:val="22"/>
          <w:vertAlign w:val="superscript"/>
        </w:rPr>
        <w:footnoteReference w:id="27"/>
      </w:r>
      <w:r w:rsidRPr="005B754E">
        <w:rPr>
          <w:sz w:val="22"/>
          <w:szCs w:val="22"/>
        </w:rPr>
        <w:t xml:space="preserve"> Στην πλευρά των υποχρεώσεων κ</w:t>
      </w:r>
      <w:r w:rsidR="00C32693">
        <w:rPr>
          <w:sz w:val="22"/>
          <w:szCs w:val="22"/>
        </w:rPr>
        <w:t>αταγράφηκε μείωση κατά 4,5 δισ</w:t>
      </w:r>
      <w:r w:rsidRPr="005B754E">
        <w:rPr>
          <w:sz w:val="22"/>
          <w:szCs w:val="22"/>
        </w:rPr>
        <w:t>. ευρώ, η οποία οφείλεται τόσο στη με</w:t>
      </w:r>
      <w:r w:rsidRPr="005B754E">
        <w:rPr>
          <w:sz w:val="22"/>
          <w:szCs w:val="22"/>
        </w:rPr>
        <w:t>ί</w:t>
      </w:r>
      <w:r w:rsidRPr="005B754E">
        <w:rPr>
          <w:sz w:val="22"/>
          <w:szCs w:val="22"/>
        </w:rPr>
        <w:t>ωση των καταθέσεων και repos μη κατοίκων στην Ελλάδα (συμπεριλαμβάνεται ο λογαριασμός TARGET) όσο και στο αποτέλεσμα της στατιστικής προσαρμογής. Οι κινήσεις αυτές αντισταθμίστ</w:t>
      </w:r>
      <w:r w:rsidRPr="005B754E">
        <w:rPr>
          <w:sz w:val="22"/>
          <w:szCs w:val="22"/>
        </w:rPr>
        <w:t>η</w:t>
      </w:r>
      <w:r w:rsidRPr="005B754E">
        <w:rPr>
          <w:sz w:val="22"/>
          <w:szCs w:val="22"/>
        </w:rPr>
        <w:t>καν εν μέρει από την αύξηση των δανειακών υποχρεώσεων του δημόσιου και ιδιωτικού τομέα προς μη κατοίκους.</w:t>
      </w:r>
    </w:p>
    <w:p w:rsidR="0057071D" w:rsidRPr="008932E1" w:rsidRDefault="0057071D" w:rsidP="005B754E">
      <w:pPr>
        <w:jc w:val="both"/>
        <w:rPr>
          <w:sz w:val="14"/>
          <w:szCs w:val="22"/>
        </w:rPr>
      </w:pPr>
    </w:p>
    <w:p w:rsidR="005B754E" w:rsidRPr="005B754E" w:rsidRDefault="005B754E" w:rsidP="005B754E">
      <w:pPr>
        <w:jc w:val="both"/>
        <w:rPr>
          <w:sz w:val="22"/>
          <w:szCs w:val="22"/>
        </w:rPr>
      </w:pPr>
      <w:r w:rsidRPr="005B754E">
        <w:rPr>
          <w:sz w:val="22"/>
          <w:szCs w:val="22"/>
        </w:rPr>
        <w:t xml:space="preserve">Στο τέλος </w:t>
      </w:r>
      <w:r w:rsidR="003840F1">
        <w:rPr>
          <w:sz w:val="22"/>
          <w:szCs w:val="22"/>
        </w:rPr>
        <w:t>Σεπτεμβρίου</w:t>
      </w:r>
      <w:r w:rsidR="003840F1" w:rsidRPr="005B754E">
        <w:rPr>
          <w:sz w:val="22"/>
          <w:szCs w:val="22"/>
        </w:rPr>
        <w:t xml:space="preserve"> </w:t>
      </w:r>
      <w:r w:rsidRPr="005B754E">
        <w:rPr>
          <w:sz w:val="22"/>
          <w:szCs w:val="22"/>
        </w:rPr>
        <w:t>2016, τα συναλλαγματικά διαθέσιμα της χώρας διαμορφώθηκαν σε 6,8 δισ. ευ</w:t>
      </w:r>
      <w:r w:rsidR="00C32693">
        <w:rPr>
          <w:sz w:val="22"/>
          <w:szCs w:val="22"/>
        </w:rPr>
        <w:t>ρώ, έναντι 5,0 δισ</w:t>
      </w:r>
      <w:r w:rsidRPr="005B754E">
        <w:rPr>
          <w:sz w:val="22"/>
          <w:szCs w:val="22"/>
        </w:rPr>
        <w:t>. ευρώ τον Αύγουστο του 2015.</w:t>
      </w:r>
    </w:p>
    <w:p w:rsidR="005B754E" w:rsidRPr="005B754E" w:rsidRDefault="005B754E" w:rsidP="005B754E">
      <w:pPr>
        <w:jc w:val="both"/>
        <w:rPr>
          <w:sz w:val="22"/>
          <w:szCs w:val="22"/>
        </w:rPr>
      </w:pPr>
    </w:p>
    <w:p w:rsidR="00E86D6C" w:rsidRPr="00F45D0E" w:rsidRDefault="00E86D6C" w:rsidP="00F45D0E">
      <w:pPr>
        <w:pStyle w:val="normal"/>
        <w:jc w:val="both"/>
        <w:rPr>
          <w:rFonts w:ascii="Arial Narrow" w:eastAsia="Arial Narrow" w:hAnsi="Arial Narrow" w:cs="Arial Narrow"/>
          <w:b/>
          <w:color w:val="000080"/>
        </w:rPr>
      </w:pPr>
      <w:r w:rsidRPr="00F45D0E">
        <w:rPr>
          <w:rFonts w:ascii="Arial Narrow" w:eastAsia="Arial Narrow" w:hAnsi="Arial Narrow" w:cs="Arial Narrow"/>
          <w:b/>
          <w:color w:val="000080"/>
        </w:rPr>
        <w:t>2.</w:t>
      </w:r>
      <w:r w:rsidR="00F45D0E" w:rsidRPr="00F45D0E">
        <w:rPr>
          <w:rFonts w:ascii="Arial Narrow" w:eastAsia="Arial Narrow" w:hAnsi="Arial Narrow" w:cs="Arial Narrow"/>
          <w:b/>
          <w:color w:val="000080"/>
        </w:rPr>
        <w:t>4</w:t>
      </w:r>
      <w:r w:rsidRPr="00F45D0E">
        <w:rPr>
          <w:rFonts w:ascii="Arial Narrow" w:eastAsia="Arial Narrow" w:hAnsi="Arial Narrow" w:cs="Arial Narrow"/>
          <w:b/>
          <w:color w:val="000080"/>
        </w:rPr>
        <w:tab/>
        <w:t>Οι προοπτικές το 20</w:t>
      </w:r>
      <w:r w:rsidR="005B754E" w:rsidRPr="00F45D0E">
        <w:rPr>
          <w:rFonts w:ascii="Arial Narrow" w:eastAsia="Arial Narrow" w:hAnsi="Arial Narrow" w:cs="Arial Narrow"/>
          <w:b/>
          <w:color w:val="000080"/>
        </w:rPr>
        <w:t>17</w:t>
      </w:r>
    </w:p>
    <w:p w:rsidR="0006551E" w:rsidRPr="008932E1" w:rsidRDefault="0006551E" w:rsidP="0006551E">
      <w:pPr>
        <w:pStyle w:val="normal"/>
        <w:jc w:val="both"/>
        <w:rPr>
          <w:sz w:val="16"/>
        </w:rPr>
      </w:pPr>
    </w:p>
    <w:p w:rsidR="005B754E" w:rsidRPr="0057071D" w:rsidRDefault="005B754E" w:rsidP="005B754E">
      <w:pPr>
        <w:pStyle w:val="normal"/>
        <w:jc w:val="both"/>
        <w:rPr>
          <w:sz w:val="22"/>
          <w:szCs w:val="22"/>
        </w:rPr>
      </w:pPr>
      <w:r w:rsidRPr="0057071D">
        <w:rPr>
          <w:sz w:val="22"/>
          <w:szCs w:val="22"/>
        </w:rPr>
        <w:t>Η συνεπής εφαρμογή του νέου προγράμματος στήριξης της ελληνικής οικονομίας, σε συνδυασμό με τη σταδιακή χαλάρωση των περιορισμών στην κίνηση κεφαλαίων και την πρόοδο στους τομείς διε</w:t>
      </w:r>
      <w:r w:rsidRPr="0057071D">
        <w:rPr>
          <w:sz w:val="22"/>
          <w:szCs w:val="22"/>
        </w:rPr>
        <w:t>υ</w:t>
      </w:r>
      <w:r w:rsidRPr="0057071D">
        <w:rPr>
          <w:sz w:val="22"/>
          <w:szCs w:val="22"/>
        </w:rPr>
        <w:t>θέτησης των μη εξυπηρετούμενων δανείων και δομικών αλλαγών, αναμένεται να οδηγήσει στην απ</w:t>
      </w:r>
      <w:r w:rsidRPr="0057071D">
        <w:rPr>
          <w:sz w:val="22"/>
          <w:szCs w:val="22"/>
        </w:rPr>
        <w:t>ο</w:t>
      </w:r>
      <w:r w:rsidRPr="0057071D">
        <w:rPr>
          <w:sz w:val="22"/>
          <w:szCs w:val="22"/>
        </w:rPr>
        <w:t>κατάσταση της εμπιστοσύνης στην ελληνική οικονομία. Η αύξηση της απασχόλησης, καθώς και η θ</w:t>
      </w:r>
      <w:r w:rsidRPr="0057071D">
        <w:rPr>
          <w:sz w:val="22"/>
          <w:szCs w:val="22"/>
        </w:rPr>
        <w:t>ε</w:t>
      </w:r>
      <w:r w:rsidRPr="0057071D">
        <w:rPr>
          <w:sz w:val="22"/>
          <w:szCs w:val="22"/>
        </w:rPr>
        <w:t>τική επίδραση μεταφοράς του 2</w:t>
      </w:r>
      <w:r w:rsidRPr="0057071D">
        <w:rPr>
          <w:sz w:val="22"/>
          <w:szCs w:val="22"/>
          <w:vertAlign w:val="superscript"/>
        </w:rPr>
        <w:t>ου</w:t>
      </w:r>
      <w:r w:rsidRPr="0057071D">
        <w:rPr>
          <w:sz w:val="22"/>
          <w:szCs w:val="22"/>
        </w:rPr>
        <w:t xml:space="preserve"> εξαμήνου του 2016 στο 2017 αναμένεται, ακόμα, να συμβάλουν στην επανεκκίνηση της ελληνικής οικονομίας, επιτρέποντας την καταγραφή θετικών ρυθμών ανάπτ</w:t>
      </w:r>
      <w:r w:rsidRPr="0057071D">
        <w:rPr>
          <w:sz w:val="22"/>
          <w:szCs w:val="22"/>
        </w:rPr>
        <w:t>υ</w:t>
      </w:r>
      <w:r w:rsidRPr="0057071D">
        <w:rPr>
          <w:sz w:val="22"/>
          <w:szCs w:val="22"/>
        </w:rPr>
        <w:t>ξης από το 2017 και διαμορφώνοντας την πρόβλεψη  για το 2017 στο 2,7%.</w:t>
      </w:r>
    </w:p>
    <w:p w:rsidR="005B754E" w:rsidRPr="005B754E" w:rsidRDefault="005B754E" w:rsidP="005B754E">
      <w:pPr>
        <w:pStyle w:val="normal"/>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3899"/>
        <w:gridCol w:w="1018"/>
        <w:gridCol w:w="1080"/>
        <w:gridCol w:w="1026"/>
      </w:tblGrid>
      <w:tr w:rsidR="002D66AC" w:rsidRPr="003F4E46" w:rsidTr="00055D02">
        <w:trPr>
          <w:jc w:val="center"/>
        </w:trPr>
        <w:tc>
          <w:tcPr>
            <w:tcW w:w="7023" w:type="dxa"/>
            <w:gridSpan w:val="4"/>
            <w:tcBorders>
              <w:bottom w:val="single" w:sz="4" w:space="0" w:color="auto"/>
              <w:right w:val="single" w:sz="4" w:space="0" w:color="auto"/>
            </w:tcBorders>
            <w:shd w:val="clear" w:color="auto" w:fill="595959"/>
            <w:vAlign w:val="center"/>
          </w:tcPr>
          <w:p w:rsidR="002D66AC" w:rsidRPr="003F4E46" w:rsidRDefault="002D66AC" w:rsidP="00055D02">
            <w:pPr>
              <w:spacing w:before="120"/>
              <w:jc w:val="center"/>
              <w:rPr>
                <w:rFonts w:ascii="Arial Narrow" w:hAnsi="Arial Narrow" w:cs="Arial Narrow"/>
                <w:b/>
                <w:bCs/>
                <w:color w:val="FFFFFF"/>
              </w:rPr>
            </w:pPr>
            <w:r w:rsidRPr="003F4E46">
              <w:rPr>
                <w:rFonts w:ascii="Arial Narrow" w:hAnsi="Arial Narrow" w:cs="Arial Narrow"/>
                <w:b/>
                <w:bCs/>
                <w:color w:val="FFFFFF"/>
              </w:rPr>
              <w:t>Πίνακας 1.3  Βασικά μεγέθη της Ελληνικής οικονομίας</w:t>
            </w:r>
          </w:p>
          <w:p w:rsidR="002D66AC" w:rsidRPr="003F4E46" w:rsidRDefault="002D66AC" w:rsidP="00055D02">
            <w:pPr>
              <w:spacing w:after="120"/>
              <w:jc w:val="center"/>
              <w:rPr>
                <w:b/>
                <w:sz w:val="22"/>
              </w:rPr>
            </w:pPr>
            <w:r w:rsidRPr="003F4E46">
              <w:rPr>
                <w:rFonts w:ascii="Arial Narrow" w:hAnsi="Arial Narrow" w:cs="Arial Narrow"/>
                <w:b/>
                <w:bCs/>
                <w:color w:val="FFFFFF"/>
              </w:rPr>
              <w:t>(% ετήσιες μεταβολές, σταθερές τιμές)</w:t>
            </w:r>
          </w:p>
        </w:tc>
      </w:tr>
      <w:tr w:rsidR="002D66AC" w:rsidRPr="003F4E46" w:rsidTr="00055D02">
        <w:trPr>
          <w:jc w:val="center"/>
        </w:trPr>
        <w:tc>
          <w:tcPr>
            <w:tcW w:w="7023" w:type="dxa"/>
            <w:gridSpan w:val="4"/>
            <w:tcBorders>
              <w:bottom w:val="single" w:sz="4" w:space="0" w:color="auto"/>
              <w:right w:val="single" w:sz="4" w:space="0" w:color="auto"/>
            </w:tcBorders>
            <w:vAlign w:val="center"/>
          </w:tcPr>
          <w:p w:rsidR="002D66AC" w:rsidRPr="003F4E46" w:rsidRDefault="002D66AC" w:rsidP="00055D02">
            <w:pPr>
              <w:jc w:val="center"/>
              <w:rPr>
                <w:rFonts w:ascii="Arial Narrow" w:hAnsi="Arial Narrow"/>
                <w:b/>
                <w:sz w:val="16"/>
                <w:szCs w:val="16"/>
              </w:rPr>
            </w:pPr>
          </w:p>
        </w:tc>
      </w:tr>
      <w:tr w:rsidR="002D66AC" w:rsidRPr="003F4E46" w:rsidTr="00055D02">
        <w:trPr>
          <w:jc w:val="center"/>
        </w:trPr>
        <w:tc>
          <w:tcPr>
            <w:tcW w:w="3899" w:type="dxa"/>
            <w:tcBorders>
              <w:bottom w:val="single" w:sz="4" w:space="0" w:color="auto"/>
              <w:right w:val="single" w:sz="4" w:space="0" w:color="auto"/>
            </w:tcBorders>
            <w:vAlign w:val="center"/>
          </w:tcPr>
          <w:p w:rsidR="002D66AC" w:rsidRPr="003F4E46" w:rsidRDefault="002D66AC" w:rsidP="00055D02">
            <w:pPr>
              <w:spacing w:before="60" w:after="60"/>
              <w:jc w:val="both"/>
              <w:rPr>
                <w:rFonts w:ascii="Arial Narrow" w:hAnsi="Arial Narrow"/>
                <w:b/>
                <w:sz w:val="16"/>
                <w:szCs w:val="16"/>
              </w:rPr>
            </w:pPr>
          </w:p>
        </w:tc>
        <w:tc>
          <w:tcPr>
            <w:tcW w:w="1018" w:type="dxa"/>
            <w:tcBorders>
              <w:top w:val="single" w:sz="4" w:space="0" w:color="auto"/>
              <w:left w:val="single" w:sz="4" w:space="0" w:color="auto"/>
              <w:bottom w:val="single" w:sz="4" w:space="0" w:color="auto"/>
              <w:right w:val="single" w:sz="4" w:space="0" w:color="auto"/>
            </w:tcBorders>
            <w:vAlign w:val="center"/>
          </w:tcPr>
          <w:p w:rsidR="002D66AC" w:rsidRPr="003F4E46" w:rsidRDefault="002D66AC" w:rsidP="00055D02">
            <w:pPr>
              <w:spacing w:before="60" w:after="60"/>
              <w:jc w:val="center"/>
              <w:rPr>
                <w:rFonts w:ascii="Arial Narrow" w:hAnsi="Arial Narrow"/>
                <w:b/>
                <w:sz w:val="16"/>
                <w:szCs w:val="16"/>
              </w:rPr>
            </w:pPr>
            <w:r>
              <w:rPr>
                <w:rFonts w:ascii="Arial Narrow" w:hAnsi="Arial Narrow"/>
                <w:b/>
                <w:sz w:val="16"/>
                <w:szCs w:val="16"/>
              </w:rPr>
              <w:t>2015</w:t>
            </w:r>
          </w:p>
        </w:tc>
        <w:tc>
          <w:tcPr>
            <w:tcW w:w="1080" w:type="dxa"/>
            <w:tcBorders>
              <w:left w:val="single" w:sz="4" w:space="0" w:color="auto"/>
              <w:bottom w:val="single" w:sz="4" w:space="0" w:color="auto"/>
              <w:right w:val="single" w:sz="4" w:space="0" w:color="auto"/>
            </w:tcBorders>
            <w:vAlign w:val="center"/>
          </w:tcPr>
          <w:p w:rsidR="002D66AC" w:rsidRPr="003F4E46" w:rsidRDefault="002D66AC" w:rsidP="00055D02">
            <w:pPr>
              <w:spacing w:before="60" w:after="60"/>
              <w:jc w:val="center"/>
              <w:rPr>
                <w:rFonts w:ascii="Arial Narrow" w:hAnsi="Arial Narrow"/>
                <w:b/>
                <w:sz w:val="16"/>
                <w:szCs w:val="16"/>
              </w:rPr>
            </w:pPr>
            <w:r w:rsidRPr="003F4E46">
              <w:rPr>
                <w:rFonts w:ascii="Arial Narrow" w:hAnsi="Arial Narrow"/>
                <w:b/>
                <w:sz w:val="16"/>
                <w:szCs w:val="16"/>
              </w:rPr>
              <w:t>201</w:t>
            </w:r>
            <w:r>
              <w:rPr>
                <w:rFonts w:ascii="Arial Narrow" w:hAnsi="Arial Narrow"/>
                <w:b/>
                <w:sz w:val="16"/>
                <w:szCs w:val="16"/>
              </w:rPr>
              <w:t>6</w:t>
            </w:r>
            <w:r w:rsidRPr="003F4E46">
              <w:rPr>
                <w:rFonts w:ascii="Arial Narrow" w:hAnsi="Arial Narrow"/>
                <w:b/>
                <w:sz w:val="16"/>
                <w:szCs w:val="16"/>
              </w:rPr>
              <w:t>**</w:t>
            </w:r>
          </w:p>
        </w:tc>
        <w:tc>
          <w:tcPr>
            <w:tcW w:w="1026" w:type="dxa"/>
            <w:tcBorders>
              <w:left w:val="single" w:sz="4" w:space="0" w:color="auto"/>
              <w:bottom w:val="single" w:sz="4" w:space="0" w:color="auto"/>
              <w:right w:val="single" w:sz="4" w:space="0" w:color="auto"/>
            </w:tcBorders>
          </w:tcPr>
          <w:p w:rsidR="002D66AC" w:rsidRPr="003F4E46" w:rsidRDefault="002D66AC" w:rsidP="00055D02">
            <w:pPr>
              <w:spacing w:before="60" w:after="60"/>
              <w:jc w:val="center"/>
              <w:rPr>
                <w:rFonts w:ascii="Arial Narrow" w:hAnsi="Arial Narrow"/>
                <w:b/>
                <w:sz w:val="16"/>
                <w:szCs w:val="16"/>
              </w:rPr>
            </w:pPr>
            <w:r w:rsidRPr="003F4E46">
              <w:rPr>
                <w:rFonts w:ascii="Arial Narrow" w:hAnsi="Arial Narrow"/>
                <w:b/>
                <w:sz w:val="16"/>
                <w:szCs w:val="16"/>
              </w:rPr>
              <w:t>201</w:t>
            </w:r>
            <w:r>
              <w:rPr>
                <w:rFonts w:ascii="Arial Narrow" w:hAnsi="Arial Narrow"/>
                <w:b/>
                <w:sz w:val="16"/>
                <w:szCs w:val="16"/>
              </w:rPr>
              <w:t>7</w:t>
            </w:r>
            <w:r w:rsidRPr="003F4E46">
              <w:rPr>
                <w:rFonts w:ascii="Arial Narrow" w:hAnsi="Arial Narrow"/>
                <w:b/>
                <w:sz w:val="16"/>
                <w:szCs w:val="16"/>
              </w:rPr>
              <w:t>**</w:t>
            </w:r>
          </w:p>
        </w:tc>
      </w:tr>
      <w:tr w:rsidR="002D66AC" w:rsidRPr="003F4E46" w:rsidTr="00055D02">
        <w:trPr>
          <w:jc w:val="center"/>
        </w:trPr>
        <w:tc>
          <w:tcPr>
            <w:tcW w:w="3899" w:type="dxa"/>
            <w:tcBorders>
              <w:top w:val="single" w:sz="4" w:space="0" w:color="auto"/>
              <w:bottom w:val="nil"/>
            </w:tcBorders>
            <w:shd w:val="clear" w:color="auto" w:fill="A6A6A6"/>
          </w:tcPr>
          <w:p w:rsidR="002D66AC" w:rsidRPr="003F4E46" w:rsidRDefault="002D66AC" w:rsidP="00055D02">
            <w:pPr>
              <w:spacing w:line="288" w:lineRule="auto"/>
              <w:jc w:val="both"/>
              <w:rPr>
                <w:rFonts w:ascii="Arial Narrow" w:hAnsi="Arial Narrow"/>
                <w:sz w:val="16"/>
                <w:szCs w:val="16"/>
              </w:rPr>
            </w:pPr>
            <w:r>
              <w:rPr>
                <w:rFonts w:ascii="Arial Narrow" w:hAnsi="Arial Narrow"/>
                <w:sz w:val="16"/>
                <w:szCs w:val="16"/>
              </w:rPr>
              <w:t xml:space="preserve">Πραγματικό </w:t>
            </w:r>
            <w:r w:rsidRPr="003F4E46">
              <w:rPr>
                <w:rFonts w:ascii="Arial Narrow" w:hAnsi="Arial Narrow"/>
                <w:sz w:val="16"/>
                <w:szCs w:val="16"/>
              </w:rPr>
              <w:t>ΑΕΠ</w:t>
            </w:r>
          </w:p>
        </w:tc>
        <w:tc>
          <w:tcPr>
            <w:tcW w:w="1018" w:type="dxa"/>
            <w:tcBorders>
              <w:top w:val="single" w:sz="4" w:space="0" w:color="auto"/>
              <w:bottom w:val="nil"/>
            </w:tcBorders>
            <w:shd w:val="clear" w:color="auto" w:fill="A6A6A6"/>
            <w:vAlign w:val="center"/>
          </w:tcPr>
          <w:p w:rsidR="002D66AC" w:rsidRPr="005B754E" w:rsidRDefault="000F17F0" w:rsidP="001F27FF">
            <w:pPr>
              <w:spacing w:line="288" w:lineRule="auto"/>
              <w:jc w:val="center"/>
              <w:rPr>
                <w:rFonts w:ascii="Arial Narrow" w:hAnsi="Arial Narrow"/>
                <w:sz w:val="16"/>
                <w:szCs w:val="16"/>
              </w:rPr>
            </w:pPr>
            <w:r>
              <w:rPr>
                <w:rFonts w:ascii="Arial Narrow" w:hAnsi="Arial Narrow"/>
                <w:sz w:val="16"/>
                <w:szCs w:val="16"/>
              </w:rPr>
              <w:t>-</w:t>
            </w:r>
            <w:r w:rsidR="002D66AC" w:rsidRPr="003F4E46">
              <w:rPr>
                <w:rFonts w:ascii="Arial Narrow" w:hAnsi="Arial Narrow"/>
                <w:sz w:val="16"/>
                <w:szCs w:val="16"/>
              </w:rPr>
              <w:t>0,</w:t>
            </w:r>
            <w:r w:rsidR="002D66AC">
              <w:rPr>
                <w:rFonts w:ascii="Arial Narrow" w:hAnsi="Arial Narrow"/>
                <w:sz w:val="16"/>
                <w:szCs w:val="16"/>
              </w:rPr>
              <w:t>2</w:t>
            </w:r>
          </w:p>
        </w:tc>
        <w:tc>
          <w:tcPr>
            <w:tcW w:w="1080" w:type="dxa"/>
            <w:tcBorders>
              <w:top w:val="single" w:sz="4" w:space="0" w:color="auto"/>
              <w:bottom w:val="nil"/>
            </w:tcBorders>
            <w:shd w:val="clear" w:color="auto" w:fill="A6A6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w:t>
            </w:r>
            <w:r w:rsidRPr="003F4E46">
              <w:rPr>
                <w:rFonts w:ascii="Arial Narrow" w:hAnsi="Arial Narrow"/>
                <w:sz w:val="16"/>
                <w:szCs w:val="16"/>
              </w:rPr>
              <w:t>0,</w:t>
            </w:r>
            <w:r>
              <w:rPr>
                <w:rFonts w:ascii="Arial Narrow" w:hAnsi="Arial Narrow"/>
                <w:sz w:val="16"/>
                <w:szCs w:val="16"/>
              </w:rPr>
              <w:t>3</w:t>
            </w:r>
          </w:p>
        </w:tc>
        <w:tc>
          <w:tcPr>
            <w:tcW w:w="1026" w:type="dxa"/>
            <w:tcBorders>
              <w:top w:val="single" w:sz="4" w:space="0" w:color="auto"/>
              <w:bottom w:val="nil"/>
            </w:tcBorders>
            <w:shd w:val="clear" w:color="auto" w:fill="A6A6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w:t>
            </w:r>
            <w:r w:rsidRPr="003F4E46">
              <w:rPr>
                <w:rFonts w:ascii="Arial Narrow" w:hAnsi="Arial Narrow"/>
                <w:sz w:val="16"/>
                <w:szCs w:val="16"/>
              </w:rPr>
              <w:t>,7</w:t>
            </w:r>
          </w:p>
        </w:tc>
      </w:tr>
      <w:tr w:rsidR="002D66AC" w:rsidRPr="003F4E46" w:rsidTr="00055D02">
        <w:trPr>
          <w:jc w:val="center"/>
        </w:trPr>
        <w:tc>
          <w:tcPr>
            <w:tcW w:w="3899" w:type="dxa"/>
            <w:tcBorders>
              <w:top w:val="nil"/>
              <w:bottom w:val="nil"/>
            </w:tcBorders>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Ιδιωτική κατανάλωση</w:t>
            </w:r>
          </w:p>
        </w:tc>
        <w:tc>
          <w:tcPr>
            <w:tcW w:w="1018" w:type="dxa"/>
            <w:tcBorders>
              <w:top w:val="nil"/>
              <w:bottom w:val="nil"/>
            </w:tcBorders>
            <w:vAlign w:val="center"/>
          </w:tcPr>
          <w:p w:rsidR="002D66AC" w:rsidRPr="005B754E" w:rsidRDefault="000F17F0" w:rsidP="001F27FF">
            <w:pPr>
              <w:spacing w:line="288" w:lineRule="auto"/>
              <w:jc w:val="center"/>
              <w:rPr>
                <w:rFonts w:ascii="Arial Narrow" w:hAnsi="Arial Narrow"/>
                <w:sz w:val="16"/>
                <w:szCs w:val="16"/>
              </w:rPr>
            </w:pPr>
            <w:r>
              <w:rPr>
                <w:rFonts w:ascii="Arial Narrow" w:hAnsi="Arial Narrow"/>
                <w:sz w:val="16"/>
                <w:szCs w:val="16"/>
              </w:rPr>
              <w:t>-</w:t>
            </w:r>
            <w:r w:rsidR="002D66AC" w:rsidRPr="003F4E46">
              <w:rPr>
                <w:rFonts w:ascii="Arial Narrow" w:hAnsi="Arial Narrow"/>
                <w:sz w:val="16"/>
                <w:szCs w:val="16"/>
                <w:lang w:val="en-US"/>
              </w:rPr>
              <w:t>0</w:t>
            </w:r>
            <w:r w:rsidR="002D66AC" w:rsidRPr="003F4E46">
              <w:rPr>
                <w:rFonts w:ascii="Arial Narrow" w:hAnsi="Arial Narrow"/>
                <w:sz w:val="16"/>
                <w:szCs w:val="16"/>
              </w:rPr>
              <w:t>,</w:t>
            </w:r>
            <w:r w:rsidR="002D66AC">
              <w:rPr>
                <w:rFonts w:ascii="Arial Narrow" w:hAnsi="Arial Narrow"/>
                <w:sz w:val="16"/>
                <w:szCs w:val="16"/>
              </w:rPr>
              <w:t>2</w:t>
            </w:r>
          </w:p>
        </w:tc>
        <w:tc>
          <w:tcPr>
            <w:tcW w:w="1080" w:type="dxa"/>
            <w:tcBorders>
              <w:top w:val="nil"/>
              <w:bottom w:val="nil"/>
            </w:tcBorders>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w:t>
            </w:r>
            <w:r w:rsidRPr="003F4E46">
              <w:rPr>
                <w:rFonts w:ascii="Arial Narrow" w:hAnsi="Arial Narrow"/>
                <w:sz w:val="16"/>
                <w:szCs w:val="16"/>
              </w:rPr>
              <w:t>0,</w:t>
            </w:r>
            <w:r>
              <w:rPr>
                <w:rFonts w:ascii="Arial Narrow" w:hAnsi="Arial Narrow"/>
                <w:sz w:val="16"/>
                <w:szCs w:val="16"/>
              </w:rPr>
              <w:t>6</w:t>
            </w:r>
          </w:p>
        </w:tc>
        <w:tc>
          <w:tcPr>
            <w:tcW w:w="1026" w:type="dxa"/>
            <w:tcBorders>
              <w:top w:val="nil"/>
              <w:bottom w:val="nil"/>
            </w:tcBorders>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1,8</w:t>
            </w:r>
          </w:p>
        </w:tc>
      </w:tr>
      <w:tr w:rsidR="002D66AC" w:rsidRPr="003F4E46" w:rsidTr="00055D02">
        <w:trPr>
          <w:jc w:val="center"/>
        </w:trPr>
        <w:tc>
          <w:tcPr>
            <w:tcW w:w="3899" w:type="dxa"/>
            <w:tcBorders>
              <w:top w:val="nil"/>
            </w:tcBorders>
            <w:shd w:val="clear" w:color="auto" w:fill="A6A6A6"/>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Δημόσια κατανάλωση</w:t>
            </w:r>
          </w:p>
        </w:tc>
        <w:tc>
          <w:tcPr>
            <w:tcW w:w="1018" w:type="dxa"/>
            <w:tcBorders>
              <w:top w:val="nil"/>
            </w:tcBorders>
            <w:shd w:val="clear" w:color="auto" w:fill="A6A6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0,0</w:t>
            </w:r>
          </w:p>
        </w:tc>
        <w:tc>
          <w:tcPr>
            <w:tcW w:w="1080" w:type="dxa"/>
            <w:tcBorders>
              <w:top w:val="nil"/>
            </w:tcBorders>
            <w:shd w:val="clear" w:color="auto" w:fill="A6A6A6"/>
            <w:vAlign w:val="center"/>
          </w:tcPr>
          <w:p w:rsidR="002D66AC" w:rsidRPr="005B754E" w:rsidRDefault="002D66AC" w:rsidP="001F27FF">
            <w:pPr>
              <w:spacing w:line="288" w:lineRule="auto"/>
              <w:jc w:val="center"/>
              <w:rPr>
                <w:rFonts w:ascii="Arial Narrow" w:hAnsi="Arial Narrow"/>
                <w:sz w:val="16"/>
                <w:szCs w:val="16"/>
              </w:rPr>
            </w:pPr>
            <w:r w:rsidRPr="003F4E46">
              <w:rPr>
                <w:rFonts w:ascii="Arial Narrow" w:hAnsi="Arial Narrow"/>
                <w:sz w:val="16"/>
                <w:szCs w:val="16"/>
              </w:rPr>
              <w:t>-</w:t>
            </w:r>
            <w:r>
              <w:rPr>
                <w:rFonts w:ascii="Arial Narrow" w:hAnsi="Arial Narrow"/>
                <w:sz w:val="16"/>
                <w:szCs w:val="16"/>
              </w:rPr>
              <w:t>1,5</w:t>
            </w:r>
          </w:p>
        </w:tc>
        <w:tc>
          <w:tcPr>
            <w:tcW w:w="1026" w:type="dxa"/>
            <w:tcBorders>
              <w:top w:val="nil"/>
            </w:tcBorders>
            <w:shd w:val="clear" w:color="auto" w:fill="A6A6A6"/>
            <w:vAlign w:val="center"/>
          </w:tcPr>
          <w:p w:rsidR="002D66AC" w:rsidRPr="005B754E" w:rsidRDefault="002D66AC" w:rsidP="001F27FF">
            <w:pPr>
              <w:spacing w:line="288" w:lineRule="auto"/>
              <w:jc w:val="center"/>
              <w:rPr>
                <w:rFonts w:ascii="Arial Narrow" w:hAnsi="Arial Narrow"/>
                <w:sz w:val="16"/>
                <w:szCs w:val="16"/>
              </w:rPr>
            </w:pPr>
            <w:r w:rsidRPr="003F4E46">
              <w:rPr>
                <w:rFonts w:ascii="Arial Narrow" w:hAnsi="Arial Narrow"/>
                <w:sz w:val="16"/>
                <w:szCs w:val="16"/>
              </w:rPr>
              <w:t>-</w:t>
            </w:r>
            <w:r>
              <w:rPr>
                <w:rFonts w:ascii="Arial Narrow" w:hAnsi="Arial Narrow"/>
                <w:sz w:val="16"/>
                <w:szCs w:val="16"/>
              </w:rPr>
              <w:t>0,3</w:t>
            </w:r>
          </w:p>
        </w:tc>
      </w:tr>
      <w:tr w:rsidR="002D66AC" w:rsidRPr="003F4E46" w:rsidTr="00055D02">
        <w:trPr>
          <w:jc w:val="center"/>
        </w:trPr>
        <w:tc>
          <w:tcPr>
            <w:tcW w:w="3899" w:type="dxa"/>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Ακαθάριστος σχηματισμός παγίου κεφαλαίου</w:t>
            </w:r>
          </w:p>
        </w:tc>
        <w:tc>
          <w:tcPr>
            <w:tcW w:w="1018" w:type="dxa"/>
            <w:vAlign w:val="center"/>
          </w:tcPr>
          <w:p w:rsidR="002D66AC" w:rsidRPr="003F4E46" w:rsidRDefault="002D66AC" w:rsidP="001F27FF">
            <w:pPr>
              <w:spacing w:line="288" w:lineRule="auto"/>
              <w:jc w:val="center"/>
              <w:rPr>
                <w:rFonts w:ascii="Arial Narrow" w:hAnsi="Arial Narrow"/>
                <w:sz w:val="16"/>
                <w:szCs w:val="16"/>
                <w:lang w:val="en-US"/>
              </w:rPr>
            </w:pPr>
            <w:r w:rsidRPr="003F4E46">
              <w:rPr>
                <w:rFonts w:ascii="Arial Narrow" w:hAnsi="Arial Narrow"/>
                <w:sz w:val="16"/>
                <w:szCs w:val="16"/>
                <w:lang w:val="en-US"/>
              </w:rPr>
              <w:t>-</w:t>
            </w:r>
            <w:r>
              <w:rPr>
                <w:rFonts w:ascii="Arial Narrow" w:hAnsi="Arial Narrow"/>
                <w:sz w:val="16"/>
                <w:szCs w:val="16"/>
              </w:rPr>
              <w:t>0,2</w:t>
            </w:r>
          </w:p>
        </w:tc>
        <w:tc>
          <w:tcPr>
            <w:tcW w:w="1080"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3,3</w:t>
            </w:r>
          </w:p>
        </w:tc>
        <w:tc>
          <w:tcPr>
            <w:tcW w:w="1026" w:type="dxa"/>
            <w:vAlign w:val="center"/>
          </w:tcPr>
          <w:p w:rsidR="002D66AC" w:rsidRPr="005B754E" w:rsidRDefault="002D66AC" w:rsidP="001F27FF">
            <w:pPr>
              <w:spacing w:line="288" w:lineRule="auto"/>
              <w:jc w:val="center"/>
              <w:rPr>
                <w:rFonts w:ascii="Arial Narrow" w:hAnsi="Arial Narrow"/>
                <w:sz w:val="16"/>
                <w:szCs w:val="16"/>
              </w:rPr>
            </w:pPr>
            <w:r>
              <w:rPr>
                <w:rFonts w:ascii="Arial Narrow" w:hAnsi="Arial Narrow"/>
                <w:sz w:val="16"/>
                <w:szCs w:val="16"/>
              </w:rPr>
              <w:t>9,1</w:t>
            </w:r>
          </w:p>
        </w:tc>
      </w:tr>
      <w:tr w:rsidR="002D66AC" w:rsidRPr="003F4E46" w:rsidTr="00055D02">
        <w:trPr>
          <w:jc w:val="center"/>
        </w:trPr>
        <w:tc>
          <w:tcPr>
            <w:tcW w:w="3899" w:type="dxa"/>
            <w:shd w:val="clear" w:color="auto" w:fill="A6A6A6"/>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Εξαγωγές αγαθών και υπηρεσιών</w:t>
            </w:r>
          </w:p>
        </w:tc>
        <w:tc>
          <w:tcPr>
            <w:tcW w:w="1018"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Pr>
                <w:rFonts w:ascii="Arial Narrow" w:hAnsi="Arial Narrow"/>
                <w:sz w:val="16"/>
                <w:szCs w:val="16"/>
              </w:rPr>
              <w:t>3,4</w:t>
            </w:r>
          </w:p>
        </w:tc>
        <w:tc>
          <w:tcPr>
            <w:tcW w:w="1080"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sidRPr="003F4E46">
              <w:rPr>
                <w:rFonts w:ascii="Arial Narrow" w:hAnsi="Arial Narrow"/>
                <w:sz w:val="16"/>
                <w:szCs w:val="16"/>
                <w:lang w:val="en-US"/>
              </w:rPr>
              <w:t>0</w:t>
            </w:r>
            <w:r w:rsidRPr="003F4E46">
              <w:rPr>
                <w:rFonts w:ascii="Arial Narrow" w:hAnsi="Arial Narrow"/>
                <w:sz w:val="16"/>
                <w:szCs w:val="16"/>
              </w:rPr>
              <w:t>,</w:t>
            </w:r>
            <w:r>
              <w:rPr>
                <w:rFonts w:ascii="Arial Narrow" w:hAnsi="Arial Narrow"/>
                <w:sz w:val="16"/>
                <w:szCs w:val="16"/>
              </w:rPr>
              <w:t>8</w:t>
            </w:r>
          </w:p>
        </w:tc>
        <w:tc>
          <w:tcPr>
            <w:tcW w:w="1026"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Pr>
                <w:rFonts w:ascii="Arial Narrow" w:hAnsi="Arial Narrow"/>
                <w:sz w:val="16"/>
                <w:szCs w:val="16"/>
              </w:rPr>
              <w:t>5,3</w:t>
            </w:r>
          </w:p>
        </w:tc>
      </w:tr>
      <w:tr w:rsidR="002D66AC" w:rsidRPr="003F4E46" w:rsidTr="00055D02">
        <w:trPr>
          <w:jc w:val="center"/>
        </w:trPr>
        <w:tc>
          <w:tcPr>
            <w:tcW w:w="3899" w:type="dxa"/>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Εισαγωγές αγαθών και υπηρεσιών</w:t>
            </w:r>
          </w:p>
        </w:tc>
        <w:tc>
          <w:tcPr>
            <w:tcW w:w="1018" w:type="dxa"/>
            <w:vAlign w:val="center"/>
          </w:tcPr>
          <w:p w:rsidR="002D66AC" w:rsidRPr="003F4E46" w:rsidRDefault="002D66AC" w:rsidP="001F27FF">
            <w:pPr>
              <w:spacing w:line="288" w:lineRule="auto"/>
              <w:jc w:val="center"/>
              <w:rPr>
                <w:rFonts w:ascii="Arial Narrow" w:hAnsi="Arial Narrow"/>
                <w:sz w:val="16"/>
                <w:szCs w:val="16"/>
                <w:lang w:val="en-US"/>
              </w:rPr>
            </w:pPr>
            <w:r>
              <w:rPr>
                <w:rFonts w:ascii="Arial Narrow" w:hAnsi="Arial Narrow"/>
                <w:sz w:val="16"/>
                <w:szCs w:val="16"/>
              </w:rPr>
              <w:t>0,3</w:t>
            </w:r>
          </w:p>
        </w:tc>
        <w:tc>
          <w:tcPr>
            <w:tcW w:w="1080"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2,7</w:t>
            </w:r>
          </w:p>
        </w:tc>
        <w:tc>
          <w:tcPr>
            <w:tcW w:w="1026"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3,2</w:t>
            </w:r>
          </w:p>
        </w:tc>
      </w:tr>
      <w:tr w:rsidR="002D66AC" w:rsidRPr="003F4E46" w:rsidTr="00055D02">
        <w:trPr>
          <w:jc w:val="center"/>
        </w:trPr>
        <w:tc>
          <w:tcPr>
            <w:tcW w:w="3899" w:type="dxa"/>
            <w:shd w:val="clear" w:color="auto" w:fill="A6A6A6"/>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Αποπληθωριστής ΑΕΠ</w:t>
            </w:r>
          </w:p>
        </w:tc>
        <w:tc>
          <w:tcPr>
            <w:tcW w:w="1018" w:type="dxa"/>
            <w:shd w:val="clear" w:color="auto" w:fill="A6A6A6"/>
            <w:vAlign w:val="center"/>
          </w:tcPr>
          <w:p w:rsidR="002D66AC" w:rsidRPr="003F4E46" w:rsidRDefault="002D66AC" w:rsidP="001F27FF">
            <w:pPr>
              <w:spacing w:line="288" w:lineRule="auto"/>
              <w:jc w:val="center"/>
              <w:rPr>
                <w:rFonts w:ascii="Arial Narrow" w:hAnsi="Arial Narrow"/>
                <w:sz w:val="16"/>
                <w:szCs w:val="16"/>
              </w:rPr>
            </w:pPr>
            <w:r w:rsidRPr="003F4E46">
              <w:rPr>
                <w:rFonts w:ascii="Arial Narrow" w:hAnsi="Arial Narrow"/>
                <w:sz w:val="16"/>
                <w:szCs w:val="16"/>
              </w:rPr>
              <w:t>-</w:t>
            </w:r>
            <w:r>
              <w:rPr>
                <w:rFonts w:ascii="Arial Narrow" w:hAnsi="Arial Narrow"/>
                <w:sz w:val="16"/>
                <w:szCs w:val="16"/>
              </w:rPr>
              <w:t>1,0</w:t>
            </w:r>
          </w:p>
        </w:tc>
        <w:tc>
          <w:tcPr>
            <w:tcW w:w="1080"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sidRPr="003F4E46">
              <w:rPr>
                <w:rFonts w:ascii="Arial Narrow" w:hAnsi="Arial Narrow"/>
                <w:sz w:val="16"/>
                <w:szCs w:val="16"/>
              </w:rPr>
              <w:t>-</w:t>
            </w:r>
            <w:r>
              <w:rPr>
                <w:rFonts w:ascii="Arial Narrow" w:hAnsi="Arial Narrow"/>
                <w:sz w:val="16"/>
                <w:szCs w:val="16"/>
              </w:rPr>
              <w:t>0,2</w:t>
            </w:r>
          </w:p>
        </w:tc>
        <w:tc>
          <w:tcPr>
            <w:tcW w:w="1026" w:type="dxa"/>
            <w:shd w:val="clear" w:color="auto" w:fill="A6A6A6"/>
            <w:vAlign w:val="center"/>
          </w:tcPr>
          <w:p w:rsidR="002D66AC" w:rsidRPr="003F4E46" w:rsidRDefault="002D66AC" w:rsidP="001F27FF">
            <w:pPr>
              <w:spacing w:line="288" w:lineRule="auto"/>
              <w:jc w:val="center"/>
              <w:rPr>
                <w:rFonts w:ascii="Arial Narrow" w:hAnsi="Arial Narrow"/>
                <w:sz w:val="16"/>
                <w:szCs w:val="16"/>
              </w:rPr>
            </w:pPr>
            <w:r w:rsidRPr="003F4E46">
              <w:rPr>
                <w:rFonts w:ascii="Arial Narrow" w:hAnsi="Arial Narrow"/>
                <w:sz w:val="16"/>
                <w:szCs w:val="16"/>
                <w:lang w:val="en-US"/>
              </w:rPr>
              <w:t>0</w:t>
            </w:r>
            <w:r>
              <w:rPr>
                <w:rFonts w:ascii="Arial Narrow" w:hAnsi="Arial Narrow"/>
                <w:sz w:val="16"/>
                <w:szCs w:val="16"/>
              </w:rPr>
              <w:t>,7</w:t>
            </w:r>
          </w:p>
        </w:tc>
      </w:tr>
      <w:tr w:rsidR="002D66AC" w:rsidRPr="003F4E46" w:rsidTr="00055D02">
        <w:trPr>
          <w:jc w:val="center"/>
        </w:trPr>
        <w:tc>
          <w:tcPr>
            <w:tcW w:w="3899" w:type="dxa"/>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Εναρμονισμένος Δείκτης Τιμών Καταναλωτή</w:t>
            </w:r>
          </w:p>
        </w:tc>
        <w:tc>
          <w:tcPr>
            <w:tcW w:w="1018"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-1,1</w:t>
            </w:r>
          </w:p>
        </w:tc>
        <w:tc>
          <w:tcPr>
            <w:tcW w:w="1080"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0,0</w:t>
            </w:r>
          </w:p>
        </w:tc>
        <w:tc>
          <w:tcPr>
            <w:tcW w:w="1026"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0,6</w:t>
            </w:r>
          </w:p>
        </w:tc>
      </w:tr>
      <w:tr w:rsidR="002D66AC" w:rsidRPr="003F4E46" w:rsidTr="00055D02">
        <w:trPr>
          <w:jc w:val="center"/>
        </w:trPr>
        <w:tc>
          <w:tcPr>
            <w:tcW w:w="3899" w:type="dxa"/>
            <w:shd w:val="clear" w:color="auto" w:fill="A6A6A6"/>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Απασχόληση*</w:t>
            </w:r>
          </w:p>
        </w:tc>
        <w:tc>
          <w:tcPr>
            <w:tcW w:w="1018"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sidRPr="003F4E46">
              <w:rPr>
                <w:rFonts w:ascii="Arial Narrow" w:hAnsi="Arial Narrow"/>
                <w:sz w:val="16"/>
                <w:szCs w:val="16"/>
              </w:rPr>
              <w:t>0,</w:t>
            </w:r>
            <w:r>
              <w:rPr>
                <w:rFonts w:ascii="Arial Narrow" w:hAnsi="Arial Narrow"/>
                <w:sz w:val="16"/>
                <w:szCs w:val="16"/>
              </w:rPr>
              <w:t>5</w:t>
            </w:r>
          </w:p>
        </w:tc>
        <w:tc>
          <w:tcPr>
            <w:tcW w:w="1080" w:type="dxa"/>
            <w:shd w:val="clear" w:color="auto" w:fill="A6A6A6"/>
            <w:vAlign w:val="center"/>
          </w:tcPr>
          <w:p w:rsidR="002D66AC" w:rsidRPr="005B754E" w:rsidRDefault="002D66AC" w:rsidP="001F27FF">
            <w:pPr>
              <w:spacing w:line="288" w:lineRule="auto"/>
              <w:jc w:val="center"/>
              <w:rPr>
                <w:rFonts w:ascii="Arial Narrow" w:hAnsi="Arial Narrow"/>
                <w:sz w:val="16"/>
                <w:szCs w:val="16"/>
              </w:rPr>
            </w:pPr>
            <w:r>
              <w:rPr>
                <w:rFonts w:ascii="Arial Narrow" w:hAnsi="Arial Narrow"/>
                <w:sz w:val="16"/>
                <w:szCs w:val="16"/>
              </w:rPr>
              <w:t>1,0</w:t>
            </w:r>
          </w:p>
        </w:tc>
        <w:tc>
          <w:tcPr>
            <w:tcW w:w="1026" w:type="dxa"/>
            <w:shd w:val="clear" w:color="auto" w:fill="A6A6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2,0</w:t>
            </w:r>
          </w:p>
        </w:tc>
      </w:tr>
      <w:tr w:rsidR="002D66AC" w:rsidRPr="003F4E46" w:rsidTr="00055D02">
        <w:trPr>
          <w:jc w:val="center"/>
        </w:trPr>
        <w:tc>
          <w:tcPr>
            <w:tcW w:w="3899" w:type="dxa"/>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Ποσοστό ανεργίας**</w:t>
            </w:r>
          </w:p>
        </w:tc>
        <w:tc>
          <w:tcPr>
            <w:tcW w:w="1018"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22,9</w:t>
            </w:r>
          </w:p>
        </w:tc>
        <w:tc>
          <w:tcPr>
            <w:tcW w:w="1080"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21,8</w:t>
            </w:r>
          </w:p>
        </w:tc>
        <w:tc>
          <w:tcPr>
            <w:tcW w:w="1026" w:type="dxa"/>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20,6</w:t>
            </w:r>
          </w:p>
        </w:tc>
      </w:tr>
      <w:tr w:rsidR="002D66AC" w:rsidRPr="003F4E46" w:rsidTr="002D66AC">
        <w:trPr>
          <w:jc w:val="center"/>
        </w:trPr>
        <w:tc>
          <w:tcPr>
            <w:tcW w:w="3899" w:type="dxa"/>
            <w:shd w:val="clear" w:color="auto" w:fill="A6A6A6" w:themeFill="background1" w:themeFillShade="A6"/>
          </w:tcPr>
          <w:p w:rsidR="002D66AC" w:rsidRPr="003F4E46" w:rsidRDefault="002D66AC" w:rsidP="00055D02">
            <w:pPr>
              <w:spacing w:line="288" w:lineRule="auto"/>
              <w:jc w:val="both"/>
              <w:rPr>
                <w:rFonts w:ascii="Arial Narrow" w:hAnsi="Arial Narrow"/>
                <w:sz w:val="16"/>
                <w:szCs w:val="16"/>
              </w:rPr>
            </w:pPr>
            <w:r w:rsidRPr="003F4E46">
              <w:rPr>
                <w:rFonts w:ascii="Arial Narrow" w:hAnsi="Arial Narrow"/>
                <w:sz w:val="16"/>
                <w:szCs w:val="16"/>
              </w:rPr>
              <w:t>Ποσοστό ανεργίας</w:t>
            </w:r>
            <w:r>
              <w:rPr>
                <w:rFonts w:ascii="Arial Narrow" w:hAnsi="Arial Narrow"/>
                <w:sz w:val="16"/>
                <w:szCs w:val="16"/>
              </w:rPr>
              <w:t xml:space="preserve"> (Έρευνα Εργατικού Δυναμικού)</w:t>
            </w:r>
          </w:p>
        </w:tc>
        <w:tc>
          <w:tcPr>
            <w:tcW w:w="1018" w:type="dxa"/>
            <w:shd w:val="clear" w:color="auto" w:fill="A6A6A6" w:themeFill="background1" w:themeFillShade="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24,9</w:t>
            </w:r>
          </w:p>
        </w:tc>
        <w:tc>
          <w:tcPr>
            <w:tcW w:w="1080" w:type="dxa"/>
            <w:shd w:val="clear" w:color="auto" w:fill="A6A6A6" w:themeFill="background1" w:themeFillShade="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23,7</w:t>
            </w:r>
          </w:p>
        </w:tc>
        <w:tc>
          <w:tcPr>
            <w:tcW w:w="1026" w:type="dxa"/>
            <w:shd w:val="clear" w:color="auto" w:fill="A6A6A6" w:themeFill="background1" w:themeFillShade="A6"/>
            <w:vAlign w:val="center"/>
          </w:tcPr>
          <w:p w:rsidR="002D66AC" w:rsidRPr="003F4E46" w:rsidRDefault="002D66AC" w:rsidP="001F27FF">
            <w:pPr>
              <w:spacing w:line="288" w:lineRule="auto"/>
              <w:jc w:val="center"/>
              <w:rPr>
                <w:rFonts w:ascii="Arial Narrow" w:hAnsi="Arial Narrow"/>
                <w:sz w:val="16"/>
                <w:szCs w:val="16"/>
              </w:rPr>
            </w:pPr>
            <w:r>
              <w:rPr>
                <w:rFonts w:ascii="Arial Narrow" w:hAnsi="Arial Narrow"/>
                <w:sz w:val="16"/>
                <w:szCs w:val="16"/>
              </w:rPr>
              <w:t>22,6</w:t>
            </w:r>
          </w:p>
        </w:tc>
      </w:tr>
    </w:tbl>
    <w:p w:rsidR="002D66AC" w:rsidRDefault="002D66AC" w:rsidP="002D66AC">
      <w:pPr>
        <w:pStyle w:val="normal"/>
        <w:tabs>
          <w:tab w:val="left" w:pos="1276"/>
        </w:tabs>
        <w:ind w:left="1276" w:hanging="283"/>
        <w:jc w:val="both"/>
      </w:pPr>
      <w:r>
        <w:rPr>
          <w:rFonts w:ascii="Symbol" w:eastAsia="Symbol" w:hAnsi="Symbol" w:cs="Symbol"/>
          <w:sz w:val="16"/>
          <w:szCs w:val="16"/>
        </w:rPr>
        <w:t></w:t>
      </w:r>
      <w:r>
        <w:rPr>
          <w:rFonts w:ascii="Arial Narrow" w:eastAsia="Arial Narrow" w:hAnsi="Arial Narrow" w:cs="Arial Narrow"/>
          <w:sz w:val="16"/>
          <w:szCs w:val="16"/>
        </w:rPr>
        <w:t xml:space="preserve"> </w:t>
      </w:r>
      <w:r>
        <w:rPr>
          <w:rFonts w:ascii="Arial Narrow" w:eastAsia="Arial Narrow" w:hAnsi="Arial Narrow" w:cs="Arial Narrow"/>
          <w:sz w:val="16"/>
          <w:szCs w:val="16"/>
        </w:rPr>
        <w:tab/>
        <w:t>Σε εθνικολογιστική βάση</w:t>
      </w:r>
    </w:p>
    <w:p w:rsidR="002D66AC" w:rsidRDefault="002D66AC" w:rsidP="002D66AC">
      <w:pPr>
        <w:pStyle w:val="normal"/>
        <w:tabs>
          <w:tab w:val="left" w:pos="1276"/>
        </w:tabs>
        <w:ind w:left="1134" w:hanging="140"/>
        <w:jc w:val="both"/>
      </w:pPr>
      <w:r>
        <w:rPr>
          <w:rFonts w:ascii="Symbol" w:eastAsia="Symbol" w:hAnsi="Symbol" w:cs="Symbol"/>
          <w:sz w:val="16"/>
          <w:szCs w:val="16"/>
        </w:rPr>
        <w:t></w:t>
      </w:r>
      <w:r>
        <w:rPr>
          <w:rFonts w:ascii="Symbol" w:eastAsia="Symbol" w:hAnsi="Symbol" w:cs="Symbol"/>
          <w:sz w:val="16"/>
          <w:szCs w:val="16"/>
        </w:rPr>
        <w:t></w:t>
      </w:r>
      <w:r>
        <w:rPr>
          <w:rFonts w:ascii="Arial Narrow" w:eastAsia="Arial Narrow" w:hAnsi="Arial Narrow" w:cs="Arial Narrow"/>
          <w:sz w:val="16"/>
          <w:szCs w:val="16"/>
        </w:rPr>
        <w:t xml:space="preserve"> </w:t>
      </w:r>
      <w:r>
        <w:rPr>
          <w:rFonts w:ascii="Arial Narrow" w:eastAsia="Arial Narrow" w:hAnsi="Arial Narrow" w:cs="Arial Narrow"/>
          <w:sz w:val="16"/>
          <w:szCs w:val="16"/>
        </w:rPr>
        <w:tab/>
        <w:t>Εκτιμήσεις/Προβλέψεις</w:t>
      </w:r>
    </w:p>
    <w:p w:rsidR="005B754E" w:rsidRPr="0057071D" w:rsidRDefault="005B754E" w:rsidP="005B754E">
      <w:pPr>
        <w:pStyle w:val="normal"/>
        <w:jc w:val="both"/>
        <w:rPr>
          <w:sz w:val="22"/>
          <w:szCs w:val="22"/>
        </w:rPr>
      </w:pPr>
      <w:r w:rsidRPr="0057071D">
        <w:rPr>
          <w:sz w:val="22"/>
          <w:szCs w:val="22"/>
        </w:rPr>
        <w:lastRenderedPageBreak/>
        <w:t>Η εξέλιξη των βασικών προσδιοριστικών μεγεθών</w:t>
      </w:r>
      <w:r w:rsidRPr="0057071D">
        <w:rPr>
          <w:sz w:val="22"/>
          <w:szCs w:val="22"/>
          <w:vertAlign w:val="superscript"/>
        </w:rPr>
        <w:footnoteReference w:id="28"/>
      </w:r>
      <w:r w:rsidRPr="0057071D">
        <w:rPr>
          <w:sz w:val="22"/>
          <w:szCs w:val="22"/>
        </w:rPr>
        <w:t xml:space="preserve"> του πραγματικού ΑΕΠ το 2017 προβλέπεται αν</w:t>
      </w:r>
      <w:r w:rsidRPr="0057071D">
        <w:rPr>
          <w:sz w:val="22"/>
          <w:szCs w:val="22"/>
        </w:rPr>
        <w:t>ο</w:t>
      </w:r>
      <w:r w:rsidRPr="0057071D">
        <w:rPr>
          <w:sz w:val="22"/>
          <w:szCs w:val="22"/>
        </w:rPr>
        <w:t>δική, πλην της οριακής μείωσης της δημόσιας κατανάλωσης κατά 0,3% σε ετήσια βάση ως αποτέλε</w:t>
      </w:r>
      <w:r w:rsidRPr="0057071D">
        <w:rPr>
          <w:sz w:val="22"/>
          <w:szCs w:val="22"/>
        </w:rPr>
        <w:t>σ</w:t>
      </w:r>
      <w:r w:rsidRPr="0057071D">
        <w:rPr>
          <w:sz w:val="22"/>
          <w:szCs w:val="22"/>
        </w:rPr>
        <w:t>μα της ταυτόχρονη</w:t>
      </w:r>
      <w:r w:rsidR="00BE5EFD">
        <w:rPr>
          <w:sz w:val="22"/>
          <w:szCs w:val="22"/>
        </w:rPr>
        <w:t>ς</w:t>
      </w:r>
      <w:r w:rsidRPr="0057071D">
        <w:rPr>
          <w:sz w:val="22"/>
          <w:szCs w:val="22"/>
        </w:rPr>
        <w:t xml:space="preserve"> ανάγκη</w:t>
      </w:r>
      <w:r w:rsidR="00BE5EFD">
        <w:rPr>
          <w:sz w:val="22"/>
          <w:szCs w:val="22"/>
        </w:rPr>
        <w:t>ς</w:t>
      </w:r>
      <w:r w:rsidRPr="0057071D">
        <w:rPr>
          <w:sz w:val="22"/>
          <w:szCs w:val="22"/>
        </w:rPr>
        <w:t xml:space="preserve"> εξοικονόμησης δημοσίων καταναλωτικών δαπανών και διαχείρισης της προσφυγικής κρίσης. Η ιδιωτική κατανάλωση αναμένεται να αυξηθεί κατά 1,8% σε σταθερές τιμές και ο ακαθάριστος σχηματισμός παγίου κεφαλαίου κατά 9,1%, ενισχυόμενος από την αύξηση της πι</w:t>
      </w:r>
      <w:r w:rsidRPr="0057071D">
        <w:rPr>
          <w:sz w:val="22"/>
          <w:szCs w:val="22"/>
        </w:rPr>
        <w:t>σ</w:t>
      </w:r>
      <w:r w:rsidRPr="0057071D">
        <w:rPr>
          <w:sz w:val="22"/>
          <w:szCs w:val="22"/>
        </w:rPr>
        <w:t xml:space="preserve">τωτικής επέκτασης στην οικονομία, την αξιοποίηση των ευρωπαϊκών επενδυτικών πόρων και την </w:t>
      </w:r>
      <w:r w:rsidRPr="0057071D">
        <w:rPr>
          <w:sz w:val="22"/>
          <w:szCs w:val="22"/>
        </w:rPr>
        <w:t>ε</w:t>
      </w:r>
      <w:r w:rsidRPr="0057071D">
        <w:rPr>
          <w:sz w:val="22"/>
          <w:szCs w:val="22"/>
        </w:rPr>
        <w:t>πίδραση του χαμηλού επιπέδου βάσης του 2016. Οι ρυθμοί αύξησης των πραγματικών εξαγωγών και των εισαγωγών αγαθών και υπηρεσιών προβλέπονται στο 5,3% και στο 3,2% αντίστοιχα, με τη συ</w:t>
      </w:r>
      <w:r w:rsidRPr="0057071D">
        <w:rPr>
          <w:sz w:val="22"/>
          <w:szCs w:val="22"/>
        </w:rPr>
        <w:t>μ</w:t>
      </w:r>
      <w:r w:rsidRPr="0057071D">
        <w:rPr>
          <w:sz w:val="22"/>
          <w:szCs w:val="22"/>
        </w:rPr>
        <w:t>βολή του εξωτερικού τομέα να ανακάμπτει σε θετικό έδαφος (0,6%) έπειτα από την πορεία προσα</w:t>
      </w:r>
      <w:r w:rsidRPr="0057071D">
        <w:rPr>
          <w:sz w:val="22"/>
          <w:szCs w:val="22"/>
        </w:rPr>
        <w:t>ρ</w:t>
      </w:r>
      <w:r w:rsidRPr="0057071D">
        <w:rPr>
          <w:sz w:val="22"/>
          <w:szCs w:val="22"/>
        </w:rPr>
        <w:t xml:space="preserve">μογής του το 2016. </w:t>
      </w:r>
    </w:p>
    <w:p w:rsidR="005B754E" w:rsidRPr="0057071D" w:rsidRDefault="005B754E" w:rsidP="005B754E">
      <w:pPr>
        <w:pStyle w:val="normal"/>
        <w:jc w:val="both"/>
        <w:rPr>
          <w:sz w:val="22"/>
          <w:szCs w:val="22"/>
        </w:rPr>
      </w:pPr>
    </w:p>
    <w:p w:rsidR="005B754E" w:rsidRPr="0057071D" w:rsidRDefault="005B754E" w:rsidP="005B754E">
      <w:pPr>
        <w:pStyle w:val="normal"/>
        <w:jc w:val="both"/>
        <w:rPr>
          <w:sz w:val="22"/>
          <w:szCs w:val="22"/>
        </w:rPr>
      </w:pPr>
      <w:r w:rsidRPr="0057071D">
        <w:rPr>
          <w:sz w:val="22"/>
          <w:szCs w:val="22"/>
        </w:rPr>
        <w:t>Η τάση των τιμών αναμένεται αυξητική το 2017, οδηγώντας για πρώτη φορά από το 2012 σε θετικό ρυθμό πληθωρισμού 0,6% και περαιτέρω μείωση της ανεργίας στο 20,6% του εργατικού δυναμικού σε εθνικολογιστική βάση.</w:t>
      </w:r>
    </w:p>
    <w:p w:rsidR="005B754E" w:rsidRPr="0057071D" w:rsidRDefault="005B754E" w:rsidP="005B754E">
      <w:pPr>
        <w:pStyle w:val="normal"/>
        <w:jc w:val="both"/>
        <w:rPr>
          <w:sz w:val="22"/>
          <w:szCs w:val="22"/>
        </w:rPr>
      </w:pPr>
    </w:p>
    <w:p w:rsidR="005B754E" w:rsidRPr="0057071D" w:rsidRDefault="005B754E" w:rsidP="005B754E">
      <w:pPr>
        <w:pStyle w:val="normal"/>
        <w:jc w:val="both"/>
        <w:rPr>
          <w:sz w:val="22"/>
          <w:szCs w:val="22"/>
        </w:rPr>
      </w:pPr>
      <w:r w:rsidRPr="0057071D">
        <w:rPr>
          <w:sz w:val="22"/>
          <w:szCs w:val="22"/>
        </w:rPr>
        <w:t>Καθοριστικό ρόλο για τις εξελίξεις το 2017 αναμένεται ότι θα διαδραματίσει η εξέλιξη των διαβουλ</w:t>
      </w:r>
      <w:r w:rsidRPr="0057071D">
        <w:rPr>
          <w:sz w:val="22"/>
          <w:szCs w:val="22"/>
        </w:rPr>
        <w:t>ε</w:t>
      </w:r>
      <w:r w:rsidRPr="0057071D">
        <w:rPr>
          <w:sz w:val="22"/>
          <w:szCs w:val="22"/>
        </w:rPr>
        <w:t>ύσεων για την αναδιάρθρωση του δημόσιου χρέους, καθώς αποτελεί κρίσιμο βήμα για την αποκατά</w:t>
      </w:r>
      <w:r w:rsidRPr="0057071D">
        <w:rPr>
          <w:sz w:val="22"/>
          <w:szCs w:val="22"/>
        </w:rPr>
        <w:t>σ</w:t>
      </w:r>
      <w:r w:rsidRPr="0057071D">
        <w:rPr>
          <w:sz w:val="22"/>
          <w:szCs w:val="22"/>
        </w:rPr>
        <w:t>ταση της επενδυτικής εμπιστοσύνης, τη μακροπρόθεσμη πιστοληπτική ικανότητα και αξιοπιστία της οικονομίας. Η επίτευξη της τελικής συμφωνίας και η εφαρμογή συγκεκριμένων μέτρων για τη βιωσ</w:t>
      </w:r>
      <w:r w:rsidRPr="0057071D">
        <w:rPr>
          <w:sz w:val="22"/>
          <w:szCs w:val="22"/>
        </w:rPr>
        <w:t>ι</w:t>
      </w:r>
      <w:r w:rsidRPr="0057071D">
        <w:rPr>
          <w:sz w:val="22"/>
          <w:szCs w:val="22"/>
        </w:rPr>
        <w:t xml:space="preserve">μότητα του δημόσιου χρέους αναμένεται να βοηθήσει στην επαναφορά της οικονομίας σε πορεία </w:t>
      </w:r>
      <w:r w:rsidRPr="0057071D">
        <w:rPr>
          <w:sz w:val="22"/>
          <w:szCs w:val="22"/>
        </w:rPr>
        <w:t>α</w:t>
      </w:r>
      <w:r w:rsidRPr="0057071D">
        <w:rPr>
          <w:sz w:val="22"/>
          <w:szCs w:val="22"/>
        </w:rPr>
        <w:t xml:space="preserve">νάπτυξης μεσοπρόθεσμα, εκπέμποντας ένα </w:t>
      </w:r>
      <w:r w:rsidR="00B363D2">
        <w:rPr>
          <w:sz w:val="22"/>
          <w:szCs w:val="22"/>
        </w:rPr>
        <w:t>«θετικό σήμα»</w:t>
      </w:r>
      <w:r w:rsidRPr="0057071D">
        <w:rPr>
          <w:sz w:val="22"/>
          <w:szCs w:val="22"/>
        </w:rPr>
        <w:t xml:space="preserve"> για την προοπτική σταθερότητας, την </w:t>
      </w:r>
      <w:r w:rsidRPr="0057071D">
        <w:rPr>
          <w:sz w:val="22"/>
          <w:szCs w:val="22"/>
        </w:rPr>
        <w:t>ώ</w:t>
      </w:r>
      <w:r w:rsidRPr="0057071D">
        <w:rPr>
          <w:sz w:val="22"/>
          <w:szCs w:val="22"/>
        </w:rPr>
        <w:t>θηση των επενδύσεων και την ενδυνάμωση της εγχώριας ζήτησης.</w:t>
      </w:r>
    </w:p>
    <w:p w:rsidR="00D54FA4" w:rsidRPr="00B363D2" w:rsidRDefault="00D54FA4" w:rsidP="005B754E">
      <w:pPr>
        <w:pStyle w:val="normal"/>
        <w:jc w:val="both"/>
        <w:rPr>
          <w:rFonts w:ascii="Arial Narrow" w:eastAsia="Arial Narrow" w:hAnsi="Arial Narrow" w:cs="Arial Narrow"/>
          <w:b/>
          <w:color w:val="000080"/>
          <w:sz w:val="22"/>
          <w:szCs w:val="22"/>
        </w:rPr>
      </w:pPr>
    </w:p>
    <w:p w:rsidR="005B754E" w:rsidRPr="005B754E" w:rsidRDefault="005B754E" w:rsidP="005B754E">
      <w:pPr>
        <w:pStyle w:val="normal"/>
        <w:jc w:val="both"/>
        <w:rPr>
          <w:rFonts w:ascii="Arial Narrow" w:eastAsia="Arial Narrow" w:hAnsi="Arial Narrow" w:cs="Arial Narrow"/>
          <w:b/>
          <w:color w:val="000080"/>
        </w:rPr>
      </w:pPr>
      <w:r w:rsidRPr="005B754E">
        <w:rPr>
          <w:rFonts w:ascii="Arial Narrow" w:eastAsia="Arial Narrow" w:hAnsi="Arial Narrow" w:cs="Arial Narrow"/>
          <w:b/>
          <w:color w:val="000080"/>
        </w:rPr>
        <w:t xml:space="preserve">2.5 </w:t>
      </w:r>
      <w:r w:rsidRPr="005B754E">
        <w:rPr>
          <w:rFonts w:ascii="Arial Narrow" w:eastAsia="Arial Narrow" w:hAnsi="Arial Narrow" w:cs="Arial Narrow"/>
          <w:b/>
          <w:color w:val="000080"/>
        </w:rPr>
        <w:tab/>
      </w:r>
      <w:r>
        <w:rPr>
          <w:rFonts w:ascii="Arial Narrow" w:eastAsia="Arial Narrow" w:hAnsi="Arial Narrow" w:cs="Arial Narrow"/>
          <w:b/>
          <w:color w:val="000080"/>
        </w:rPr>
        <w:t xml:space="preserve">Μακροοικονομικοί και δημοσιονομικοί κίνδυνοι </w:t>
      </w:r>
    </w:p>
    <w:p w:rsidR="005B754E" w:rsidRPr="00B363D2" w:rsidRDefault="005B754E" w:rsidP="005B754E">
      <w:pPr>
        <w:pStyle w:val="normal"/>
        <w:rPr>
          <w:sz w:val="22"/>
        </w:rPr>
      </w:pPr>
    </w:p>
    <w:p w:rsidR="005B754E" w:rsidRPr="0057071D" w:rsidRDefault="005B754E" w:rsidP="005B754E">
      <w:pPr>
        <w:pStyle w:val="normal"/>
        <w:jc w:val="both"/>
        <w:rPr>
          <w:sz w:val="22"/>
          <w:szCs w:val="22"/>
        </w:rPr>
      </w:pPr>
      <w:r w:rsidRPr="0057071D">
        <w:rPr>
          <w:sz w:val="22"/>
          <w:szCs w:val="22"/>
        </w:rPr>
        <w:t>Οι προβλέψεις του μακροοικονομικού σεναρίου για το ΑΕΠ και τις συνιστώσες του συνδέονται με ορισμένους παράγοντες μακροοικονομικού κινδύνου, οι οποίοι θα μπορούσαν να συμπιέσουν προς τα κάτω την επίδοση της οικονομίας στο 2</w:t>
      </w:r>
      <w:r w:rsidRPr="0057071D">
        <w:rPr>
          <w:sz w:val="22"/>
          <w:szCs w:val="22"/>
          <w:vertAlign w:val="superscript"/>
        </w:rPr>
        <w:t>ο</w:t>
      </w:r>
      <w:r w:rsidRPr="0057071D">
        <w:rPr>
          <w:sz w:val="22"/>
          <w:szCs w:val="22"/>
        </w:rPr>
        <w:t xml:space="preserve"> εξάμηνο του 2016 και πέραν αυτού.</w:t>
      </w:r>
    </w:p>
    <w:p w:rsidR="005B754E" w:rsidRPr="0057071D" w:rsidRDefault="005B754E" w:rsidP="005B754E">
      <w:pPr>
        <w:pStyle w:val="normal"/>
        <w:jc w:val="both"/>
        <w:rPr>
          <w:sz w:val="22"/>
          <w:szCs w:val="22"/>
        </w:rPr>
      </w:pPr>
    </w:p>
    <w:p w:rsidR="005B754E" w:rsidRPr="0057071D" w:rsidRDefault="005B754E" w:rsidP="005B754E">
      <w:pPr>
        <w:pStyle w:val="normal"/>
        <w:jc w:val="both"/>
        <w:rPr>
          <w:sz w:val="22"/>
          <w:szCs w:val="22"/>
        </w:rPr>
      </w:pPr>
      <w:r w:rsidRPr="0057071D">
        <w:rPr>
          <w:sz w:val="22"/>
          <w:szCs w:val="22"/>
        </w:rPr>
        <w:t xml:space="preserve">Οι κίνδυνοι αυτοί αφορούν αφενός ενδογενείς παράγοντες, όπως την ταχύτητα προσαρμογής της </w:t>
      </w:r>
      <w:r w:rsidRPr="0057071D">
        <w:rPr>
          <w:sz w:val="22"/>
          <w:szCs w:val="22"/>
        </w:rPr>
        <w:t>ε</w:t>
      </w:r>
      <w:r w:rsidRPr="0057071D">
        <w:rPr>
          <w:sz w:val="22"/>
          <w:szCs w:val="22"/>
        </w:rPr>
        <w:t>πενδυτικής δραστηριότητας στα νέα δεδομένα οικονομικής σταθερότητας και τη συνεπή υλοποίηση του συμφωνηθέντος πακέτου μέτρων. Για την ασφαλή μετάβαση σε θετικούς ρυθμούς ανάπτυξης το 2017 και μεσοπρόθεσμα, η στρατηγική που πρέπει να εφαρμοστεί σε σχέση με αυτούς τους ενδογενείς παράγοντες είναι:</w:t>
      </w:r>
    </w:p>
    <w:p w:rsidR="005B754E" w:rsidRPr="0057071D" w:rsidRDefault="005B754E" w:rsidP="005B754E">
      <w:pPr>
        <w:pStyle w:val="normal"/>
        <w:jc w:val="both"/>
        <w:rPr>
          <w:sz w:val="22"/>
          <w:szCs w:val="22"/>
        </w:rPr>
      </w:pPr>
    </w:p>
    <w:p w:rsidR="005B754E" w:rsidRPr="0057071D" w:rsidRDefault="005B754E" w:rsidP="00B363D2">
      <w:pPr>
        <w:pStyle w:val="normal"/>
        <w:numPr>
          <w:ilvl w:val="0"/>
          <w:numId w:val="14"/>
        </w:numPr>
        <w:ind w:left="284" w:hanging="284"/>
        <w:jc w:val="both"/>
        <w:rPr>
          <w:sz w:val="22"/>
          <w:szCs w:val="22"/>
        </w:rPr>
      </w:pPr>
      <w:r w:rsidRPr="0057071D">
        <w:rPr>
          <w:sz w:val="22"/>
          <w:szCs w:val="22"/>
        </w:rPr>
        <w:t>η αποτελεσματική αντιμετώπιση του προβλήματος των μη εξυπηρετούμενων δανείων, που θα εξ</w:t>
      </w:r>
      <w:r w:rsidRPr="0057071D">
        <w:rPr>
          <w:sz w:val="22"/>
          <w:szCs w:val="22"/>
        </w:rPr>
        <w:t>υ</w:t>
      </w:r>
      <w:r w:rsidRPr="0057071D">
        <w:rPr>
          <w:sz w:val="22"/>
          <w:szCs w:val="22"/>
        </w:rPr>
        <w:t>γιάνει τα χαρτοφυλάκια των ελληνικών τραπεζών επιτρέποντας την αύξηση της πιστωτικής επέ</w:t>
      </w:r>
      <w:r w:rsidRPr="0057071D">
        <w:rPr>
          <w:sz w:val="22"/>
          <w:szCs w:val="22"/>
        </w:rPr>
        <w:t>κ</w:t>
      </w:r>
      <w:r w:rsidRPr="0057071D">
        <w:rPr>
          <w:sz w:val="22"/>
          <w:szCs w:val="22"/>
        </w:rPr>
        <w:t>τασης προς την πραγματική οικονομία,</w:t>
      </w:r>
    </w:p>
    <w:p w:rsidR="005B754E" w:rsidRPr="0057071D" w:rsidRDefault="005B754E" w:rsidP="00B363D2">
      <w:pPr>
        <w:pStyle w:val="normal"/>
        <w:numPr>
          <w:ilvl w:val="0"/>
          <w:numId w:val="14"/>
        </w:numPr>
        <w:ind w:left="284" w:hanging="284"/>
        <w:jc w:val="both"/>
        <w:rPr>
          <w:sz w:val="22"/>
          <w:szCs w:val="22"/>
        </w:rPr>
      </w:pPr>
      <w:r w:rsidRPr="0057071D">
        <w:rPr>
          <w:sz w:val="22"/>
          <w:szCs w:val="22"/>
        </w:rPr>
        <w:t>η υλοποίηση των δομικών μεταρρυθμίσεων που προβλέπονται στο πρόγραμμα στήριξης, με στόχο την αύξηση της ανταγωνιστικότητας της οικονομίας με τρόπους πέραν της εσωτερικής υποτίμ</w:t>
      </w:r>
      <w:r w:rsidRPr="0057071D">
        <w:rPr>
          <w:sz w:val="22"/>
          <w:szCs w:val="22"/>
        </w:rPr>
        <w:t>η</w:t>
      </w:r>
      <w:r w:rsidRPr="0057071D">
        <w:rPr>
          <w:sz w:val="22"/>
          <w:szCs w:val="22"/>
        </w:rPr>
        <w:t xml:space="preserve">σης, καθόσον αυτή έχει εξαντλήσει τα περιθώρια συνεισφοράς της, </w:t>
      </w:r>
    </w:p>
    <w:p w:rsidR="005B754E" w:rsidRPr="0057071D" w:rsidRDefault="005B754E" w:rsidP="00B363D2">
      <w:pPr>
        <w:pStyle w:val="normal"/>
        <w:numPr>
          <w:ilvl w:val="0"/>
          <w:numId w:val="14"/>
        </w:numPr>
        <w:ind w:left="284" w:hanging="284"/>
        <w:jc w:val="both"/>
        <w:rPr>
          <w:sz w:val="22"/>
          <w:szCs w:val="22"/>
        </w:rPr>
      </w:pPr>
      <w:r w:rsidRPr="0057071D">
        <w:rPr>
          <w:sz w:val="22"/>
          <w:szCs w:val="22"/>
        </w:rPr>
        <w:t>η αξιοποίηση των ευρωπαϊκών κονδυλίων με έμφαση στη συμμετοχή της Ελλάδας στο Επενδυτικό Σχέδιο για την Ευρώπη,</w:t>
      </w:r>
    </w:p>
    <w:p w:rsidR="005B754E" w:rsidRPr="0057071D" w:rsidRDefault="005B754E" w:rsidP="00B363D2">
      <w:pPr>
        <w:pStyle w:val="normal"/>
        <w:numPr>
          <w:ilvl w:val="0"/>
          <w:numId w:val="14"/>
        </w:numPr>
        <w:ind w:left="284" w:hanging="284"/>
        <w:jc w:val="both"/>
        <w:rPr>
          <w:sz w:val="22"/>
          <w:szCs w:val="22"/>
        </w:rPr>
      </w:pPr>
      <w:r w:rsidRPr="0057071D">
        <w:rPr>
          <w:sz w:val="22"/>
          <w:szCs w:val="22"/>
        </w:rPr>
        <w:t>η συνέχιση των διαβουλεύσεων για τη βιωσιμότητα του δημ</w:t>
      </w:r>
      <w:r w:rsidR="00B363D2">
        <w:rPr>
          <w:sz w:val="22"/>
          <w:szCs w:val="22"/>
        </w:rPr>
        <w:t xml:space="preserve">όσιου </w:t>
      </w:r>
      <w:r w:rsidRPr="0057071D">
        <w:rPr>
          <w:sz w:val="22"/>
          <w:szCs w:val="22"/>
        </w:rPr>
        <w:t>χρέους και η σταδιακή εφαρμ</w:t>
      </w:r>
      <w:r w:rsidRPr="0057071D">
        <w:rPr>
          <w:sz w:val="22"/>
          <w:szCs w:val="22"/>
        </w:rPr>
        <w:t>ο</w:t>
      </w:r>
      <w:r w:rsidRPr="0057071D">
        <w:rPr>
          <w:sz w:val="22"/>
          <w:szCs w:val="22"/>
        </w:rPr>
        <w:t>γή συγκεκριμένων βραχυπρόθεσμων και μέσο/μακροπρόθεσμων μέτρων για την αναδιάρθρωση των ακαθάριστων χρηματοδοτικών αναγκών της χώρας,</w:t>
      </w:r>
    </w:p>
    <w:p w:rsidR="005B754E" w:rsidRPr="0057071D" w:rsidRDefault="005B754E" w:rsidP="00B363D2">
      <w:pPr>
        <w:pStyle w:val="normal"/>
        <w:numPr>
          <w:ilvl w:val="0"/>
          <w:numId w:val="14"/>
        </w:numPr>
        <w:ind w:left="284" w:hanging="284"/>
        <w:jc w:val="both"/>
        <w:rPr>
          <w:sz w:val="22"/>
          <w:szCs w:val="22"/>
        </w:rPr>
      </w:pPr>
      <w:r w:rsidRPr="0057071D">
        <w:rPr>
          <w:sz w:val="22"/>
          <w:szCs w:val="22"/>
        </w:rPr>
        <w:t xml:space="preserve">η παγίωση της βελτίωσης των δημοσιονομικών αποτελεσμάτων, ώστε να μην παρίσταται ανάγκη ενεργοποίησης του αυτόματου μηχανισμού δημοσιονομικής προσαρμογής, </w:t>
      </w:r>
    </w:p>
    <w:p w:rsidR="005B754E" w:rsidRPr="0057071D" w:rsidRDefault="005B754E" w:rsidP="00B363D2">
      <w:pPr>
        <w:pStyle w:val="normal"/>
        <w:numPr>
          <w:ilvl w:val="0"/>
          <w:numId w:val="14"/>
        </w:numPr>
        <w:ind w:left="284" w:hanging="284"/>
        <w:jc w:val="both"/>
        <w:rPr>
          <w:sz w:val="22"/>
          <w:szCs w:val="22"/>
        </w:rPr>
      </w:pPr>
      <w:r w:rsidRPr="0057071D">
        <w:rPr>
          <w:sz w:val="22"/>
          <w:szCs w:val="22"/>
        </w:rPr>
        <w:lastRenderedPageBreak/>
        <w:t xml:space="preserve">η ενίσχυση του δικτύου κοινωνικής συνοχής, με τη στήριξη των χαμηλότερων εισοδηματικών στρωμάτων μέσω δεσμών μέτρων κοινωνικής αλληλεγγύης, όπως σχεδιάζεται για το 2017. </w:t>
      </w:r>
    </w:p>
    <w:p w:rsidR="005B754E" w:rsidRPr="0057071D" w:rsidRDefault="005B754E" w:rsidP="005B754E">
      <w:pPr>
        <w:pStyle w:val="normal"/>
        <w:jc w:val="both"/>
        <w:rPr>
          <w:sz w:val="22"/>
          <w:szCs w:val="22"/>
        </w:rPr>
      </w:pPr>
    </w:p>
    <w:p w:rsidR="005B754E" w:rsidRPr="0057071D" w:rsidRDefault="005B754E" w:rsidP="005B754E">
      <w:pPr>
        <w:pStyle w:val="normal"/>
        <w:jc w:val="both"/>
        <w:rPr>
          <w:sz w:val="22"/>
          <w:szCs w:val="22"/>
        </w:rPr>
      </w:pPr>
      <w:r w:rsidRPr="0057071D">
        <w:rPr>
          <w:sz w:val="22"/>
          <w:szCs w:val="22"/>
        </w:rPr>
        <w:t>Αφετέρου, αρκετοί εξωγενείς παράγοντες που επιδρούν το τελευταίο διάστημα στο διεθνές οικονομ</w:t>
      </w:r>
      <w:r w:rsidRPr="0057071D">
        <w:rPr>
          <w:sz w:val="22"/>
          <w:szCs w:val="22"/>
        </w:rPr>
        <w:t>ι</w:t>
      </w:r>
      <w:r w:rsidRPr="0057071D">
        <w:rPr>
          <w:sz w:val="22"/>
          <w:szCs w:val="22"/>
        </w:rPr>
        <w:t>κό περιβάλλον, ωθούν σε αύξηση της αβεβαιότητας και δύνανται να επιδράσουν δυσμενώς στην ε</w:t>
      </w:r>
      <w:r w:rsidRPr="0057071D">
        <w:rPr>
          <w:sz w:val="22"/>
          <w:szCs w:val="22"/>
        </w:rPr>
        <w:t>λ</w:t>
      </w:r>
      <w:r w:rsidRPr="0057071D">
        <w:rPr>
          <w:sz w:val="22"/>
          <w:szCs w:val="22"/>
        </w:rPr>
        <w:t xml:space="preserve">ληνική οικονομία. Τέτοιοι παράγοντες είναι: </w:t>
      </w:r>
    </w:p>
    <w:p w:rsidR="005B754E" w:rsidRPr="0057071D" w:rsidRDefault="005B754E" w:rsidP="005B754E">
      <w:pPr>
        <w:pStyle w:val="normal"/>
        <w:jc w:val="both"/>
        <w:rPr>
          <w:sz w:val="22"/>
          <w:szCs w:val="22"/>
        </w:rPr>
      </w:pPr>
    </w:p>
    <w:p w:rsidR="005B754E" w:rsidRPr="0057071D" w:rsidRDefault="005B754E" w:rsidP="00B363D2">
      <w:pPr>
        <w:pStyle w:val="normal"/>
        <w:numPr>
          <w:ilvl w:val="0"/>
          <w:numId w:val="14"/>
        </w:numPr>
        <w:ind w:left="284" w:hanging="284"/>
        <w:jc w:val="both"/>
        <w:rPr>
          <w:sz w:val="22"/>
          <w:szCs w:val="22"/>
        </w:rPr>
      </w:pPr>
      <w:r w:rsidRPr="0057071D">
        <w:rPr>
          <w:sz w:val="22"/>
          <w:szCs w:val="22"/>
        </w:rPr>
        <w:t>η απόφαση του Ηνωμένου Βασιλείου για έξοδο από την Ευρωπαϊκή Ένωση, με τη μεσοπρόθεσμη επίπτωση που αυτή δύναται να έχει:</w:t>
      </w:r>
    </w:p>
    <w:p w:rsidR="005B754E" w:rsidRPr="0057071D" w:rsidRDefault="00B363D2" w:rsidP="00B363D2">
      <w:pPr>
        <w:pStyle w:val="normal"/>
        <w:tabs>
          <w:tab w:val="left" w:pos="567"/>
        </w:tabs>
        <w:ind w:left="284" w:hanging="284"/>
        <w:jc w:val="both"/>
        <w:rPr>
          <w:sz w:val="22"/>
          <w:szCs w:val="22"/>
        </w:rPr>
      </w:pPr>
      <w:r>
        <w:rPr>
          <w:sz w:val="22"/>
          <w:szCs w:val="22"/>
        </w:rPr>
        <w:tab/>
      </w:r>
      <w:r w:rsidR="005B754E" w:rsidRPr="0057071D">
        <w:rPr>
          <w:sz w:val="22"/>
          <w:szCs w:val="22"/>
        </w:rPr>
        <w:t>-</w:t>
      </w:r>
      <w:r w:rsidR="005B754E" w:rsidRPr="0057071D">
        <w:rPr>
          <w:sz w:val="22"/>
          <w:szCs w:val="22"/>
        </w:rPr>
        <w:tab/>
        <w:t>στις αποδόσεις των κρατικών ομολόγων των περιφερειακών χωρών με μεγάλους δείκτες</w:t>
      </w:r>
      <w:r>
        <w:rPr>
          <w:sz w:val="22"/>
          <w:szCs w:val="22"/>
        </w:rPr>
        <w:tab/>
        <w:t xml:space="preserve">δημόσιου </w:t>
      </w:r>
      <w:r w:rsidR="005B754E" w:rsidRPr="0057071D">
        <w:rPr>
          <w:sz w:val="22"/>
          <w:szCs w:val="22"/>
        </w:rPr>
        <w:t xml:space="preserve">χρέους,  </w:t>
      </w:r>
    </w:p>
    <w:p w:rsidR="005B754E" w:rsidRPr="0057071D" w:rsidRDefault="00B363D2" w:rsidP="00B363D2">
      <w:pPr>
        <w:pStyle w:val="normal"/>
        <w:tabs>
          <w:tab w:val="left" w:pos="567"/>
        </w:tabs>
        <w:ind w:left="284" w:hanging="284"/>
        <w:jc w:val="both"/>
        <w:rPr>
          <w:sz w:val="22"/>
          <w:szCs w:val="22"/>
        </w:rPr>
      </w:pPr>
      <w:r>
        <w:rPr>
          <w:sz w:val="22"/>
          <w:szCs w:val="22"/>
        </w:rPr>
        <w:tab/>
      </w:r>
      <w:r w:rsidR="005B754E" w:rsidRPr="0057071D">
        <w:rPr>
          <w:sz w:val="22"/>
          <w:szCs w:val="22"/>
        </w:rPr>
        <w:t>-</w:t>
      </w:r>
      <w:r w:rsidR="005B754E" w:rsidRPr="0057071D">
        <w:rPr>
          <w:sz w:val="22"/>
          <w:szCs w:val="22"/>
        </w:rPr>
        <w:tab/>
        <w:t>στο ΑΕΠ της Ευρωπαϊκής Ένωσης και κατ’ επέκταση στις εξαγωγές της ελληνικής οικονομίας,</w:t>
      </w:r>
    </w:p>
    <w:p w:rsidR="005B754E" w:rsidRPr="0057071D" w:rsidRDefault="00B363D2" w:rsidP="00B363D2">
      <w:pPr>
        <w:pStyle w:val="normal"/>
        <w:tabs>
          <w:tab w:val="left" w:pos="567"/>
        </w:tabs>
        <w:ind w:left="284" w:hanging="284"/>
        <w:jc w:val="both"/>
        <w:rPr>
          <w:sz w:val="22"/>
          <w:szCs w:val="22"/>
        </w:rPr>
      </w:pPr>
      <w:r>
        <w:rPr>
          <w:sz w:val="22"/>
          <w:szCs w:val="22"/>
        </w:rPr>
        <w:tab/>
      </w:r>
      <w:r w:rsidR="005B754E" w:rsidRPr="0057071D">
        <w:rPr>
          <w:sz w:val="22"/>
          <w:szCs w:val="22"/>
        </w:rPr>
        <w:t>-</w:t>
      </w:r>
      <w:r w:rsidR="005B754E" w:rsidRPr="0057071D">
        <w:rPr>
          <w:sz w:val="22"/>
          <w:szCs w:val="22"/>
        </w:rPr>
        <w:tab/>
        <w:t>στην αύξηση της εσωστρέφειας σε επίπεδο κρατών-μελών της Ευρωπαϊκής Ένωσης,</w:t>
      </w:r>
    </w:p>
    <w:p w:rsidR="005B754E" w:rsidRPr="0057071D" w:rsidRDefault="00B363D2" w:rsidP="00B363D2">
      <w:pPr>
        <w:pStyle w:val="normal"/>
        <w:tabs>
          <w:tab w:val="left" w:pos="567"/>
        </w:tabs>
        <w:ind w:left="284" w:hanging="284"/>
        <w:jc w:val="both"/>
        <w:rPr>
          <w:sz w:val="22"/>
          <w:szCs w:val="22"/>
        </w:rPr>
      </w:pPr>
      <w:r>
        <w:rPr>
          <w:sz w:val="22"/>
          <w:szCs w:val="22"/>
        </w:rPr>
        <w:tab/>
      </w:r>
      <w:r w:rsidR="005B754E" w:rsidRPr="0057071D">
        <w:rPr>
          <w:sz w:val="22"/>
          <w:szCs w:val="22"/>
        </w:rPr>
        <w:t>-</w:t>
      </w:r>
      <w:r w:rsidR="005B754E" w:rsidRPr="0057071D">
        <w:rPr>
          <w:sz w:val="22"/>
          <w:szCs w:val="22"/>
        </w:rPr>
        <w:tab/>
        <w:t>σε ευάλωτα τραπεζικά συστήματα που αποτελούν μέρος του Ευρωσυστήματος και</w:t>
      </w:r>
    </w:p>
    <w:p w:rsidR="005B754E" w:rsidRPr="0057071D" w:rsidRDefault="00B363D2" w:rsidP="00B363D2">
      <w:pPr>
        <w:pStyle w:val="normal"/>
        <w:tabs>
          <w:tab w:val="left" w:pos="567"/>
        </w:tabs>
        <w:ind w:left="284" w:hanging="284"/>
        <w:jc w:val="both"/>
        <w:rPr>
          <w:sz w:val="22"/>
          <w:szCs w:val="22"/>
        </w:rPr>
      </w:pPr>
      <w:r>
        <w:rPr>
          <w:sz w:val="22"/>
          <w:szCs w:val="22"/>
        </w:rPr>
        <w:tab/>
      </w:r>
      <w:r w:rsidR="005B754E" w:rsidRPr="0057071D">
        <w:rPr>
          <w:sz w:val="22"/>
          <w:szCs w:val="22"/>
        </w:rPr>
        <w:t>-</w:t>
      </w:r>
      <w:r w:rsidR="005B754E" w:rsidRPr="0057071D">
        <w:rPr>
          <w:sz w:val="22"/>
          <w:szCs w:val="22"/>
        </w:rPr>
        <w:tab/>
        <w:t>στο βαθμό διακυμάνσεων και αποστροφής του κινδύνου στις διεθνείς χρηματαγορές,</w:t>
      </w:r>
    </w:p>
    <w:p w:rsidR="005B754E" w:rsidRPr="0057071D" w:rsidRDefault="005B754E" w:rsidP="00B363D2">
      <w:pPr>
        <w:pStyle w:val="normal"/>
        <w:numPr>
          <w:ilvl w:val="0"/>
          <w:numId w:val="14"/>
        </w:numPr>
        <w:ind w:left="284" w:hanging="284"/>
        <w:jc w:val="both"/>
        <w:rPr>
          <w:sz w:val="22"/>
          <w:szCs w:val="22"/>
        </w:rPr>
      </w:pPr>
      <w:r w:rsidRPr="0057071D">
        <w:rPr>
          <w:sz w:val="22"/>
          <w:szCs w:val="22"/>
        </w:rPr>
        <w:t>τυχόν απόκλιση από την εφαρμοζόμενη συμφωνία μεταξύ Ευρωπαϊκής Ένωσης και Τουρκίας για την προσφυγική κρίση,</w:t>
      </w:r>
    </w:p>
    <w:p w:rsidR="005B754E" w:rsidRPr="0057071D" w:rsidRDefault="005B754E" w:rsidP="00B363D2">
      <w:pPr>
        <w:pStyle w:val="normal"/>
        <w:numPr>
          <w:ilvl w:val="0"/>
          <w:numId w:val="14"/>
        </w:numPr>
        <w:ind w:left="284" w:hanging="284"/>
        <w:jc w:val="both"/>
        <w:rPr>
          <w:sz w:val="22"/>
          <w:szCs w:val="22"/>
        </w:rPr>
      </w:pPr>
      <w:r w:rsidRPr="0057071D">
        <w:rPr>
          <w:sz w:val="22"/>
          <w:szCs w:val="22"/>
        </w:rPr>
        <w:t>τυχόν παράταση των υφιστάμενων γεωπολιτικών συνθηκών στην ευρύτερη περιοχή της Ανατολ</w:t>
      </w:r>
      <w:r w:rsidRPr="0057071D">
        <w:rPr>
          <w:sz w:val="22"/>
          <w:szCs w:val="22"/>
        </w:rPr>
        <w:t>ι</w:t>
      </w:r>
      <w:r w:rsidRPr="0057071D">
        <w:rPr>
          <w:sz w:val="22"/>
          <w:szCs w:val="22"/>
        </w:rPr>
        <w:t>κής Μεσογείου και της Μέσης Ανατολής, με δυνητικά αρνητικές συνέπειες για τον ελληνικό το</w:t>
      </w:r>
      <w:r w:rsidRPr="0057071D">
        <w:rPr>
          <w:sz w:val="22"/>
          <w:szCs w:val="22"/>
        </w:rPr>
        <w:t>υ</w:t>
      </w:r>
      <w:r w:rsidRPr="0057071D">
        <w:rPr>
          <w:sz w:val="22"/>
          <w:szCs w:val="22"/>
        </w:rPr>
        <w:t>ρισμό και τις άμεσες ξένες επενδύσεις στο μεσοπρόθεσμο διάστημα.</w:t>
      </w:r>
    </w:p>
    <w:p w:rsidR="005B754E" w:rsidRPr="0057071D" w:rsidRDefault="005B754E" w:rsidP="005B754E">
      <w:pPr>
        <w:pStyle w:val="normal"/>
        <w:jc w:val="both"/>
        <w:rPr>
          <w:sz w:val="22"/>
          <w:szCs w:val="22"/>
        </w:rPr>
      </w:pPr>
    </w:p>
    <w:sectPr w:rsidR="005B754E" w:rsidRPr="0057071D" w:rsidSect="004C0D32">
      <w:headerReference w:type="even" r:id="rId8"/>
      <w:headerReference w:type="default" r:id="rId9"/>
      <w:footerReference w:type="even" r:id="rId10"/>
      <w:footerReference w:type="default" r:id="rId11"/>
      <w:type w:val="continuous"/>
      <w:pgSz w:w="11906" w:h="16838" w:code="9"/>
      <w:pgMar w:top="1418" w:right="1247" w:bottom="1418" w:left="1588"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F24" w:rsidRDefault="00B13F24">
      <w:r>
        <w:separator/>
      </w:r>
    </w:p>
  </w:endnote>
  <w:endnote w:type="continuationSeparator" w:id="0">
    <w:p w:rsidR="00B13F24" w:rsidRDefault="00B13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B" w:rsidRPr="00847827" w:rsidRDefault="00201B28" w:rsidP="00F85CFF">
    <w:pPr>
      <w:pStyle w:val="a4"/>
      <w:jc w:val="both"/>
      <w:rPr>
        <w:color w:val="333333"/>
        <w:lang w:val="en-US"/>
      </w:rPr>
    </w:pPr>
    <w:r w:rsidRPr="00715F2C">
      <w:rPr>
        <w:rStyle w:val="a5"/>
        <w:b/>
        <w:sz w:val="28"/>
      </w:rPr>
      <w:fldChar w:fldCharType="begin"/>
    </w:r>
    <w:r w:rsidR="00E63E6B" w:rsidRPr="00715F2C">
      <w:rPr>
        <w:rStyle w:val="a5"/>
        <w:b/>
        <w:sz w:val="28"/>
      </w:rPr>
      <w:instrText xml:space="preserve"> PAGE </w:instrText>
    </w:r>
    <w:r w:rsidRPr="00715F2C">
      <w:rPr>
        <w:rStyle w:val="a5"/>
        <w:b/>
        <w:sz w:val="28"/>
      </w:rPr>
      <w:fldChar w:fldCharType="separate"/>
    </w:r>
    <w:r w:rsidR="00D64605">
      <w:rPr>
        <w:rStyle w:val="a5"/>
        <w:b/>
        <w:noProof/>
        <w:sz w:val="28"/>
      </w:rPr>
      <w:t>28</w:t>
    </w:r>
    <w:r w:rsidRPr="00715F2C">
      <w:rPr>
        <w:rStyle w:val="a5"/>
        <w:b/>
        <w:sz w:val="28"/>
      </w:rPr>
      <w:fldChar w:fldCharType="end"/>
    </w:r>
    <w:r w:rsidR="00E63E6B">
      <w:rPr>
        <w:rStyle w:val="a5"/>
        <w:b/>
        <w:color w:val="000080"/>
        <w:sz w:val="28"/>
      </w:rPr>
      <w:t xml:space="preserve">  </w:t>
    </w:r>
    <w:r w:rsidR="00E63E6B" w:rsidRPr="008857CA">
      <w:rPr>
        <w:rFonts w:ascii="Arial Narrow" w:hAnsi="Arial Narrow"/>
        <w:color w:val="333333"/>
        <w:sz w:val="22"/>
      </w:rPr>
      <w:t xml:space="preserve">ΚΡΑΤΙΚΟΣ ΠΡΟΫΠΟΛΟΓΙΣΜΟΣ </w:t>
    </w:r>
    <w:r w:rsidR="00E63E6B">
      <w:rPr>
        <w:rFonts w:ascii="Arial Narrow" w:hAnsi="Arial Narrow"/>
        <w:color w:val="333333"/>
        <w:sz w:val="22"/>
      </w:rPr>
      <w:t>201</w:t>
    </w:r>
    <w:r w:rsidR="00E63E6B">
      <w:rPr>
        <w:rFonts w:ascii="Arial Narrow" w:hAnsi="Arial Narrow"/>
        <w:color w:val="333333"/>
        <w:sz w:val="22"/>
        <w:lang w:val="en-US"/>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B" w:rsidRPr="00D40E4A" w:rsidRDefault="00E63E6B" w:rsidP="00D40E4A">
    <w:pPr>
      <w:pStyle w:val="a4"/>
      <w:jc w:val="right"/>
      <w:rPr>
        <w:rFonts w:ascii="Arial Narrow" w:hAnsi="Arial Narrow"/>
        <w:sz w:val="22"/>
      </w:rPr>
    </w:pPr>
    <w:r w:rsidRPr="008857CA">
      <w:rPr>
        <w:rFonts w:ascii="Arial Narrow" w:hAnsi="Arial Narrow"/>
        <w:color w:val="333333"/>
        <w:sz w:val="22"/>
      </w:rPr>
      <w:t xml:space="preserve">ΚΡΑΤΙΚΟΣ ΠΡΟΫΠΟΛΟΓΙΣΜΟΣ </w:t>
    </w:r>
    <w:r>
      <w:rPr>
        <w:rFonts w:ascii="Arial Narrow" w:hAnsi="Arial Narrow"/>
        <w:color w:val="333333"/>
        <w:sz w:val="22"/>
      </w:rPr>
      <w:t>201</w:t>
    </w:r>
    <w:r>
      <w:rPr>
        <w:rFonts w:ascii="Arial Narrow" w:hAnsi="Arial Narrow"/>
        <w:color w:val="333333"/>
        <w:sz w:val="22"/>
        <w:lang w:val="en-US"/>
      </w:rPr>
      <w:t>7</w:t>
    </w:r>
    <w:r>
      <w:rPr>
        <w:rFonts w:ascii="Arial Narrow" w:hAnsi="Arial Narrow"/>
        <w:color w:val="333333"/>
        <w:sz w:val="22"/>
      </w:rPr>
      <w:t xml:space="preserve">  </w:t>
    </w:r>
    <w:r w:rsidR="00201B28" w:rsidRPr="00715F2C">
      <w:rPr>
        <w:rStyle w:val="a5"/>
        <w:b/>
        <w:sz w:val="28"/>
      </w:rPr>
      <w:fldChar w:fldCharType="begin"/>
    </w:r>
    <w:r w:rsidRPr="00715F2C">
      <w:rPr>
        <w:rStyle w:val="a5"/>
        <w:b/>
        <w:sz w:val="28"/>
      </w:rPr>
      <w:instrText xml:space="preserve"> PAGE </w:instrText>
    </w:r>
    <w:r w:rsidR="00201B28" w:rsidRPr="00715F2C">
      <w:rPr>
        <w:rStyle w:val="a5"/>
        <w:b/>
        <w:sz w:val="28"/>
      </w:rPr>
      <w:fldChar w:fldCharType="separate"/>
    </w:r>
    <w:r w:rsidR="00D64605">
      <w:rPr>
        <w:rStyle w:val="a5"/>
        <w:b/>
        <w:noProof/>
        <w:sz w:val="28"/>
      </w:rPr>
      <w:t>29</w:t>
    </w:r>
    <w:r w:rsidR="00201B28" w:rsidRPr="00715F2C">
      <w:rPr>
        <w:rStyle w:val="a5"/>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F24" w:rsidRDefault="00B13F24">
      <w:r>
        <w:separator/>
      </w:r>
    </w:p>
  </w:footnote>
  <w:footnote w:type="continuationSeparator" w:id="0">
    <w:p w:rsidR="00B13F24" w:rsidRDefault="00B13F24">
      <w:r>
        <w:continuationSeparator/>
      </w:r>
    </w:p>
  </w:footnote>
  <w:footnote w:id="1">
    <w:p w:rsidR="00E63E6B" w:rsidRPr="00481B85" w:rsidRDefault="00E63E6B" w:rsidP="00847827">
      <w:pPr>
        <w:ind w:left="284" w:hanging="284"/>
        <w:jc w:val="both"/>
        <w:rPr>
          <w:rFonts w:ascii="Arial Narrow" w:hAnsi="Arial Narrow"/>
          <w:sz w:val="18"/>
          <w:szCs w:val="20"/>
          <w:lang w:val="en-US"/>
        </w:rPr>
      </w:pPr>
      <w:r w:rsidRPr="006B20CF">
        <w:rPr>
          <w:rStyle w:val="a9"/>
          <w:sz w:val="18"/>
          <w:szCs w:val="20"/>
        </w:rPr>
        <w:footnoteRef/>
      </w:r>
      <w:r w:rsidRPr="006B2382">
        <w:rPr>
          <w:sz w:val="18"/>
          <w:szCs w:val="20"/>
          <w:lang w:val="en-US"/>
        </w:rPr>
        <w:tab/>
      </w:r>
      <w:r w:rsidRPr="00481B85">
        <w:rPr>
          <w:rFonts w:ascii="Arial Narrow" w:hAnsi="Arial Narrow"/>
          <w:sz w:val="18"/>
          <w:szCs w:val="20"/>
          <w:lang w:val="en-US"/>
        </w:rPr>
        <w:t>«World Economic Outlook – Subdued Demand, Symptoms and Remedies», Διεθνές Νομισματικό Ταμείο, Οκτώβριος 2016</w:t>
      </w:r>
    </w:p>
  </w:footnote>
  <w:footnote w:id="2">
    <w:p w:rsidR="00E63E6B" w:rsidRPr="00B32A67" w:rsidRDefault="00E63E6B" w:rsidP="00847827">
      <w:pPr>
        <w:pStyle w:val="a8"/>
        <w:tabs>
          <w:tab w:val="left" w:pos="142"/>
        </w:tabs>
        <w:ind w:left="142" w:hanging="142"/>
        <w:jc w:val="both"/>
        <w:rPr>
          <w:rFonts w:ascii="Arial Narrow" w:hAnsi="Arial Narrow"/>
          <w:sz w:val="18"/>
          <w:szCs w:val="18"/>
          <w:lang w:val="el-GR" w:eastAsia="el-GR"/>
        </w:rPr>
      </w:pPr>
      <w:r w:rsidRPr="00A24908">
        <w:rPr>
          <w:rStyle w:val="a9"/>
          <w:rFonts w:ascii="Arial Narrow" w:hAnsi="Arial Narrow"/>
          <w:sz w:val="18"/>
          <w:szCs w:val="18"/>
          <w:lang w:val="el-GR"/>
        </w:rPr>
        <w:footnoteRef/>
      </w:r>
      <w:r w:rsidRPr="00A24908">
        <w:rPr>
          <w:rFonts w:ascii="Arial Narrow" w:hAnsi="Arial Narrow"/>
          <w:sz w:val="18"/>
          <w:szCs w:val="18"/>
          <w:lang w:val="el-GR"/>
        </w:rPr>
        <w:tab/>
      </w:r>
      <w:r w:rsidRPr="00B32A67">
        <w:rPr>
          <w:rFonts w:ascii="Arial Narrow" w:hAnsi="Arial Narrow"/>
          <w:sz w:val="18"/>
          <w:szCs w:val="18"/>
          <w:lang w:val="el-GR" w:eastAsia="el-GR"/>
        </w:rPr>
        <w:t xml:space="preserve">Σύμφωνα με τις προβλέψεις Σεπτεμβρίου 2016 της ΕΚΤ, η τιμή του αργού πετρελαίου </w:t>
      </w:r>
      <w:r w:rsidRPr="00A24908">
        <w:rPr>
          <w:rFonts w:ascii="Arial Narrow" w:hAnsi="Arial Narrow"/>
          <w:sz w:val="18"/>
          <w:szCs w:val="18"/>
          <w:lang w:eastAsia="el-GR"/>
        </w:rPr>
        <w:t>Brent</w:t>
      </w:r>
      <w:r w:rsidRPr="00B32A67">
        <w:rPr>
          <w:rFonts w:ascii="Arial Narrow" w:hAnsi="Arial Narrow"/>
          <w:sz w:val="18"/>
          <w:szCs w:val="18"/>
          <w:lang w:val="el-GR" w:eastAsia="el-GR"/>
        </w:rPr>
        <w:t xml:space="preserve"> εκτιμάται ότι θα κατέλθει, από τα 52,4 δ</w:t>
      </w:r>
      <w:r w:rsidRPr="00B32A67">
        <w:rPr>
          <w:rFonts w:ascii="Arial Narrow" w:hAnsi="Arial Narrow"/>
          <w:sz w:val="18"/>
          <w:szCs w:val="18"/>
          <w:lang w:val="el-GR" w:eastAsia="el-GR"/>
        </w:rPr>
        <w:t>ο</w:t>
      </w:r>
      <w:r w:rsidRPr="00B32A67">
        <w:rPr>
          <w:rFonts w:ascii="Arial Narrow" w:hAnsi="Arial Narrow"/>
          <w:sz w:val="18"/>
          <w:szCs w:val="18"/>
          <w:lang w:val="el-GR" w:eastAsia="el-GR"/>
        </w:rPr>
        <w:t>λάρια το βαρέλι το έτος 2015, στα 42,8 δολάρια το βαρέλι το 2016, πριν ανακάμψει στα 47,4 δολάρια το βαρέλι το 2017 και στα 50,6 δολάρια το 2018.</w:t>
      </w:r>
    </w:p>
  </w:footnote>
  <w:footnote w:id="3">
    <w:p w:rsidR="00E63E6B" w:rsidRPr="00A24908" w:rsidRDefault="00E63E6B" w:rsidP="00847827">
      <w:pPr>
        <w:pStyle w:val="a8"/>
        <w:tabs>
          <w:tab w:val="left" w:pos="142"/>
        </w:tabs>
        <w:ind w:left="142" w:hanging="142"/>
        <w:jc w:val="both"/>
        <w:rPr>
          <w:rFonts w:ascii="Arial Narrow" w:hAnsi="Arial Narrow"/>
          <w:sz w:val="18"/>
          <w:szCs w:val="18"/>
          <w:lang w:val="en-US" w:eastAsia="el-GR"/>
        </w:rPr>
      </w:pPr>
      <w:r w:rsidRPr="00A24908">
        <w:rPr>
          <w:rStyle w:val="a9"/>
          <w:rFonts w:ascii="Arial Narrow" w:hAnsi="Arial Narrow"/>
          <w:sz w:val="18"/>
          <w:szCs w:val="18"/>
          <w:lang w:val="el-GR"/>
        </w:rPr>
        <w:footnoteRef/>
      </w:r>
      <w:r w:rsidRPr="00A24908">
        <w:rPr>
          <w:rFonts w:ascii="Arial Narrow" w:hAnsi="Arial Narrow"/>
          <w:sz w:val="18"/>
          <w:szCs w:val="18"/>
          <w:lang w:val="en-US"/>
        </w:rPr>
        <w:tab/>
      </w:r>
      <w:r w:rsidRPr="00A24908">
        <w:rPr>
          <w:rFonts w:ascii="Arial Narrow" w:hAnsi="Arial Narrow"/>
          <w:sz w:val="18"/>
          <w:szCs w:val="18"/>
          <w:lang w:val="en-US" w:eastAsia="el-GR"/>
        </w:rPr>
        <w:t>ECB</w:t>
      </w:r>
      <w:r w:rsidRPr="00A24908">
        <w:rPr>
          <w:rFonts w:ascii="Arial Narrow" w:hAnsi="Arial Narrow"/>
          <w:sz w:val="18"/>
          <w:szCs w:val="18"/>
          <w:lang w:val="en-US"/>
        </w:rPr>
        <w:t xml:space="preserve"> staff </w:t>
      </w:r>
      <w:r w:rsidRPr="00A24908">
        <w:rPr>
          <w:rFonts w:ascii="Arial Narrow" w:hAnsi="Arial Narrow"/>
          <w:sz w:val="18"/>
          <w:szCs w:val="18"/>
          <w:lang w:val="en-US" w:eastAsia="el-GR"/>
        </w:rPr>
        <w:t>macroeconomic projections for the euro area, European Central Bank, September 2016</w:t>
      </w:r>
    </w:p>
  </w:footnote>
  <w:footnote w:id="4">
    <w:p w:rsidR="00E63E6B" w:rsidRPr="00A24908" w:rsidRDefault="00E63E6B" w:rsidP="00847827">
      <w:pPr>
        <w:pStyle w:val="a8"/>
        <w:tabs>
          <w:tab w:val="left" w:pos="142"/>
        </w:tabs>
        <w:ind w:left="142" w:hanging="142"/>
        <w:jc w:val="both"/>
        <w:rPr>
          <w:rStyle w:val="a9"/>
          <w:rFonts w:ascii="Arial Narrow" w:hAnsi="Arial Narrow"/>
          <w:sz w:val="18"/>
          <w:szCs w:val="18"/>
          <w:lang w:val="el-GR"/>
        </w:rPr>
      </w:pPr>
      <w:r w:rsidRPr="00A24908">
        <w:rPr>
          <w:rStyle w:val="a9"/>
          <w:lang w:val="el-GR"/>
        </w:rPr>
        <w:footnoteRef/>
      </w:r>
      <w:r w:rsidRPr="00A24908">
        <w:rPr>
          <w:rStyle w:val="a9"/>
          <w:lang w:val="el-GR"/>
        </w:rPr>
        <w:tab/>
      </w:r>
      <w:r w:rsidRPr="009C0189">
        <w:rPr>
          <w:rFonts w:ascii="Arial Narrow" w:hAnsi="Arial Narrow"/>
          <w:sz w:val="18"/>
          <w:szCs w:val="18"/>
          <w:lang w:val="el-GR" w:eastAsia="el-GR"/>
        </w:rPr>
        <w:t>Οι αντίστοιχες εκτιμήσεις των Εαρινών Προβλέψεων της Ευρωπαϊκής Επιτροπής (Μαΐου 2016) ήταν 0,2% για το 2016 και 1,4% για το 2017.</w:t>
      </w:r>
      <w:r w:rsidRPr="00A24908">
        <w:rPr>
          <w:rFonts w:ascii="Arial Narrow" w:hAnsi="Arial Narrow"/>
          <w:sz w:val="18"/>
          <w:szCs w:val="18"/>
          <w:lang w:val="el-GR"/>
        </w:rPr>
        <w:t xml:space="preserve"> </w:t>
      </w:r>
    </w:p>
  </w:footnote>
  <w:footnote w:id="5">
    <w:p w:rsidR="00E63E6B" w:rsidRPr="00A24908" w:rsidRDefault="00E63E6B" w:rsidP="00847827">
      <w:pPr>
        <w:pStyle w:val="a8"/>
        <w:tabs>
          <w:tab w:val="left" w:pos="142"/>
        </w:tabs>
        <w:rPr>
          <w:rFonts w:ascii="Arial Narrow" w:hAnsi="Arial Narrow"/>
          <w:sz w:val="18"/>
          <w:szCs w:val="18"/>
          <w:lang w:val="en-US" w:eastAsia="el-GR"/>
        </w:rPr>
      </w:pPr>
      <w:r w:rsidRPr="00A24908">
        <w:rPr>
          <w:rStyle w:val="a9"/>
          <w:rFonts w:ascii="Arial Narrow" w:hAnsi="Arial Narrow"/>
          <w:sz w:val="18"/>
          <w:szCs w:val="18"/>
          <w:lang w:val="el-GR"/>
        </w:rPr>
        <w:footnoteRef/>
      </w:r>
      <w:r w:rsidRPr="009C0189">
        <w:rPr>
          <w:rFonts w:ascii="Arial Narrow" w:hAnsi="Arial Narrow"/>
          <w:sz w:val="18"/>
          <w:szCs w:val="18"/>
          <w:lang w:val="en-US"/>
        </w:rPr>
        <w:tab/>
      </w:r>
      <w:r w:rsidRPr="00A24908">
        <w:rPr>
          <w:rFonts w:ascii="Arial Narrow" w:hAnsi="Arial Narrow"/>
          <w:sz w:val="18"/>
          <w:szCs w:val="18"/>
          <w:lang w:val="en-US" w:eastAsia="el-GR"/>
        </w:rPr>
        <w:t>Κοινοτική Οδηγία 2014/59/ΕΕ (Bank Recovery and ResolutionDirective).</w:t>
      </w:r>
    </w:p>
  </w:footnote>
  <w:footnote w:id="6">
    <w:p w:rsidR="00E63E6B" w:rsidRPr="0057071D" w:rsidRDefault="00E63E6B" w:rsidP="009666A7">
      <w:pPr>
        <w:pStyle w:val="a8"/>
        <w:ind w:left="142" w:hanging="142"/>
        <w:jc w:val="both"/>
        <w:rPr>
          <w:rFonts w:ascii="Arial Narrow" w:hAnsi="Arial Narrow"/>
          <w:sz w:val="18"/>
          <w:lang w:val="el-GR"/>
        </w:rPr>
      </w:pPr>
      <w:r w:rsidRPr="0057071D">
        <w:rPr>
          <w:rStyle w:val="a9"/>
          <w:rFonts w:ascii="Arial Narrow" w:hAnsi="Arial Narrow"/>
          <w:sz w:val="18"/>
        </w:rPr>
        <w:footnoteRef/>
      </w:r>
      <w:r w:rsidRPr="0057071D">
        <w:rPr>
          <w:rFonts w:ascii="Arial Narrow" w:hAnsi="Arial Narrow"/>
          <w:sz w:val="18"/>
          <w:lang w:val="el-GR"/>
        </w:rPr>
        <w:tab/>
        <w:t>Στην έκθεσή του «</w:t>
      </w:r>
      <w:r w:rsidRPr="0057071D">
        <w:rPr>
          <w:rFonts w:ascii="Arial Narrow" w:hAnsi="Arial Narrow"/>
          <w:sz w:val="18"/>
          <w:lang w:val="en-US"/>
        </w:rPr>
        <w:t>Economic</w:t>
      </w:r>
      <w:r w:rsidRPr="0057071D">
        <w:rPr>
          <w:rFonts w:ascii="Arial Narrow" w:hAnsi="Arial Narrow"/>
          <w:sz w:val="18"/>
          <w:lang w:val="el-GR"/>
        </w:rPr>
        <w:t xml:space="preserve"> </w:t>
      </w:r>
      <w:r w:rsidRPr="0057071D">
        <w:rPr>
          <w:rFonts w:ascii="Arial Narrow" w:hAnsi="Arial Narrow"/>
          <w:sz w:val="18"/>
          <w:lang w:val="en-US"/>
        </w:rPr>
        <w:t>Policy</w:t>
      </w:r>
      <w:r w:rsidRPr="0057071D">
        <w:rPr>
          <w:rFonts w:ascii="Arial Narrow" w:hAnsi="Arial Narrow"/>
          <w:sz w:val="18"/>
          <w:lang w:val="el-GR"/>
        </w:rPr>
        <w:t xml:space="preserve"> </w:t>
      </w:r>
      <w:r w:rsidRPr="0057071D">
        <w:rPr>
          <w:rFonts w:ascii="Arial Narrow" w:hAnsi="Arial Narrow"/>
          <w:sz w:val="18"/>
          <w:lang w:val="en-US"/>
        </w:rPr>
        <w:t>Reforms</w:t>
      </w:r>
      <w:r w:rsidRPr="0057071D">
        <w:rPr>
          <w:rFonts w:ascii="Arial Narrow" w:hAnsi="Arial Narrow"/>
          <w:sz w:val="18"/>
          <w:lang w:val="el-GR"/>
        </w:rPr>
        <w:t xml:space="preserve">: </w:t>
      </w:r>
      <w:r w:rsidRPr="0057071D">
        <w:rPr>
          <w:rFonts w:ascii="Arial Narrow" w:hAnsi="Arial Narrow"/>
          <w:sz w:val="18"/>
          <w:lang w:val="en-US"/>
        </w:rPr>
        <w:t>Going</w:t>
      </w:r>
      <w:r w:rsidRPr="0057071D">
        <w:rPr>
          <w:rFonts w:ascii="Arial Narrow" w:hAnsi="Arial Narrow"/>
          <w:sz w:val="18"/>
          <w:lang w:val="el-GR"/>
        </w:rPr>
        <w:t xml:space="preserve"> </w:t>
      </w:r>
      <w:r w:rsidRPr="0057071D">
        <w:rPr>
          <w:rFonts w:ascii="Arial Narrow" w:hAnsi="Arial Narrow"/>
          <w:sz w:val="18"/>
          <w:lang w:val="en-US"/>
        </w:rPr>
        <w:t>for</w:t>
      </w:r>
      <w:r w:rsidRPr="0057071D">
        <w:rPr>
          <w:rFonts w:ascii="Arial Narrow" w:hAnsi="Arial Narrow"/>
          <w:sz w:val="18"/>
          <w:lang w:val="el-GR"/>
        </w:rPr>
        <w:t xml:space="preserve"> </w:t>
      </w:r>
      <w:r w:rsidRPr="0057071D">
        <w:rPr>
          <w:rFonts w:ascii="Arial Narrow" w:hAnsi="Arial Narrow"/>
          <w:sz w:val="18"/>
          <w:lang w:val="en-US"/>
        </w:rPr>
        <w:t>growth</w:t>
      </w:r>
      <w:r w:rsidRPr="0057071D">
        <w:rPr>
          <w:rFonts w:ascii="Arial Narrow" w:hAnsi="Arial Narrow"/>
          <w:sz w:val="18"/>
          <w:lang w:val="el-GR"/>
        </w:rPr>
        <w:t xml:space="preserve">» (2015), </w:t>
      </w:r>
      <w:r w:rsidRPr="0057071D">
        <w:rPr>
          <w:rFonts w:ascii="Arial Narrow" w:hAnsi="Arial Narrow"/>
          <w:sz w:val="18"/>
          <w:lang w:val="en-US"/>
        </w:rPr>
        <w:t>o</w:t>
      </w:r>
      <w:r w:rsidRPr="0057071D">
        <w:rPr>
          <w:rFonts w:ascii="Arial Narrow" w:hAnsi="Arial Narrow"/>
          <w:sz w:val="18"/>
          <w:lang w:val="el-GR"/>
        </w:rPr>
        <w:t xml:space="preserve"> ΟΟΣΑ αναφέρει ότι η εισοδηματική ανισότητα στην ελληνική οικονομία αυξήθηκε την περίοδο 2005-2011, με τα νοικοκυριά στο χαμηλότερο τμήμα της εισοδηματικής κλίμακας να καταγράφουν </w:t>
      </w:r>
      <w:r w:rsidRPr="0057071D">
        <w:rPr>
          <w:rFonts w:ascii="Arial Narrow" w:hAnsi="Arial Narrow"/>
          <w:sz w:val="18"/>
          <w:lang w:val="el-GR"/>
        </w:rPr>
        <w:t>α</w:t>
      </w:r>
      <w:r w:rsidRPr="0057071D">
        <w:rPr>
          <w:rFonts w:ascii="Arial Narrow" w:hAnsi="Arial Narrow"/>
          <w:sz w:val="18"/>
          <w:lang w:val="el-GR"/>
        </w:rPr>
        <w:t>πώλειες συγκριτικά μεγαλύτερες εν μέσω συνολικά μειούμενων εισοδημάτων.</w:t>
      </w:r>
    </w:p>
  </w:footnote>
  <w:footnote w:id="7">
    <w:p w:rsidR="00E63E6B" w:rsidRPr="0057071D" w:rsidRDefault="00E63E6B" w:rsidP="009666A7">
      <w:pPr>
        <w:pStyle w:val="a8"/>
        <w:ind w:left="142" w:hanging="142"/>
        <w:jc w:val="both"/>
        <w:rPr>
          <w:rFonts w:ascii="Arial Narrow" w:hAnsi="Arial Narrow"/>
          <w:sz w:val="18"/>
          <w:lang w:val="en-US"/>
        </w:rPr>
      </w:pPr>
      <w:r w:rsidRPr="0057071D">
        <w:rPr>
          <w:rStyle w:val="a9"/>
          <w:rFonts w:ascii="Arial Narrow" w:hAnsi="Arial Narrow"/>
          <w:sz w:val="18"/>
        </w:rPr>
        <w:footnoteRef/>
      </w:r>
      <w:r w:rsidRPr="0057071D">
        <w:rPr>
          <w:rFonts w:ascii="Arial Narrow" w:hAnsi="Arial Narrow"/>
          <w:sz w:val="18"/>
          <w:lang w:val="en-US"/>
        </w:rPr>
        <w:tab/>
      </w:r>
      <w:r w:rsidRPr="0057071D">
        <w:rPr>
          <w:rFonts w:ascii="Arial Narrow" w:hAnsi="Arial Narrow"/>
          <w:sz w:val="18"/>
          <w:lang w:val="el-GR"/>
        </w:rPr>
        <w:t>Έκθεση</w:t>
      </w:r>
      <w:r w:rsidRPr="0057071D">
        <w:rPr>
          <w:rFonts w:ascii="Arial Narrow" w:hAnsi="Arial Narrow"/>
          <w:sz w:val="18"/>
          <w:lang w:val="en-US"/>
        </w:rPr>
        <w:t xml:space="preserve"> «In it Together: Why less Inequality Benefits All, Overview of inequality trends, key findings and policy directions», </w:t>
      </w:r>
      <w:r w:rsidRPr="0057071D">
        <w:rPr>
          <w:rFonts w:ascii="Arial Narrow" w:hAnsi="Arial Narrow"/>
          <w:sz w:val="18"/>
          <w:lang w:val="el-GR"/>
        </w:rPr>
        <w:t>ΟΟΣΑ</w:t>
      </w:r>
      <w:r w:rsidRPr="0057071D">
        <w:rPr>
          <w:rFonts w:ascii="Arial Narrow" w:hAnsi="Arial Narrow"/>
          <w:sz w:val="18"/>
          <w:lang w:val="en-US"/>
        </w:rPr>
        <w:t xml:space="preserve"> 2015.</w:t>
      </w:r>
    </w:p>
  </w:footnote>
  <w:footnote w:id="8">
    <w:p w:rsidR="00E63E6B" w:rsidRPr="0057071D" w:rsidRDefault="00E63E6B" w:rsidP="009666A7">
      <w:pPr>
        <w:pStyle w:val="a8"/>
        <w:ind w:left="142" w:hanging="142"/>
        <w:jc w:val="both"/>
        <w:rPr>
          <w:rFonts w:ascii="Arial Narrow" w:hAnsi="Arial Narrow"/>
          <w:sz w:val="18"/>
          <w:lang w:val="el-GR"/>
        </w:rPr>
      </w:pPr>
      <w:r w:rsidRPr="0057071D">
        <w:rPr>
          <w:rStyle w:val="a9"/>
          <w:rFonts w:ascii="Arial Narrow" w:hAnsi="Arial Narrow"/>
          <w:sz w:val="18"/>
        </w:rPr>
        <w:footnoteRef/>
      </w:r>
      <w:r w:rsidRPr="0057071D">
        <w:rPr>
          <w:rFonts w:ascii="Arial Narrow" w:hAnsi="Arial Narrow"/>
          <w:sz w:val="18"/>
          <w:lang w:val="el-GR"/>
        </w:rPr>
        <w:tab/>
        <w:t>Στοιχεία εθνικών λογαριασμών.</w:t>
      </w:r>
    </w:p>
  </w:footnote>
  <w:footnote w:id="9">
    <w:p w:rsidR="00E63E6B" w:rsidRPr="0057071D" w:rsidRDefault="00E63E6B" w:rsidP="009666A7">
      <w:pPr>
        <w:pStyle w:val="a8"/>
        <w:ind w:left="142" w:hanging="142"/>
        <w:jc w:val="both"/>
        <w:rPr>
          <w:rFonts w:ascii="Arial Narrow" w:hAnsi="Arial Narrow"/>
          <w:lang w:val="el-GR"/>
        </w:rPr>
      </w:pPr>
      <w:r w:rsidRPr="0057071D">
        <w:rPr>
          <w:rStyle w:val="a9"/>
          <w:rFonts w:ascii="Arial Narrow" w:hAnsi="Arial Narrow"/>
          <w:sz w:val="18"/>
        </w:rPr>
        <w:footnoteRef/>
      </w:r>
      <w:r w:rsidRPr="0057071D">
        <w:rPr>
          <w:rFonts w:ascii="Arial Narrow" w:hAnsi="Arial Narrow"/>
          <w:sz w:val="18"/>
          <w:lang w:val="el-GR"/>
        </w:rPr>
        <w:tab/>
        <w:t>Στοιχεία εθνικών λογαριασμών. Σύμφωνα με την έρευνα εργατικού δυναμικού της Ελληνικής Στατιστικής Αρχής, η μείωση της ανεργίας ήταν κατά μία ποσοστιαία μονάδα, από το 27,5% του εργατικού δυναμικού το 2013 στο 26,5% το 2014.</w:t>
      </w:r>
    </w:p>
  </w:footnote>
  <w:footnote w:id="10">
    <w:p w:rsidR="00E63E6B" w:rsidRPr="008C3DED" w:rsidRDefault="00E63E6B" w:rsidP="009C0189">
      <w:pPr>
        <w:pStyle w:val="a8"/>
        <w:ind w:left="142" w:hanging="142"/>
        <w:jc w:val="both"/>
        <w:rPr>
          <w:rFonts w:ascii="Arial Narrow" w:hAnsi="Arial Narrow"/>
          <w:sz w:val="18"/>
          <w:lang w:val="el-GR"/>
        </w:rPr>
      </w:pPr>
      <w:r w:rsidRPr="008C3DED">
        <w:rPr>
          <w:rStyle w:val="a9"/>
          <w:rFonts w:ascii="Arial Narrow" w:hAnsi="Arial Narrow"/>
          <w:sz w:val="18"/>
        </w:rPr>
        <w:footnoteRef/>
      </w:r>
      <w:r w:rsidRPr="009C0189">
        <w:rPr>
          <w:rFonts w:ascii="Arial Narrow" w:hAnsi="Arial Narrow"/>
          <w:sz w:val="18"/>
          <w:lang w:val="el-GR"/>
        </w:rPr>
        <w:tab/>
      </w:r>
      <w:r w:rsidRPr="008C3DED">
        <w:rPr>
          <w:rFonts w:ascii="Arial Narrow" w:hAnsi="Arial Narrow"/>
          <w:sz w:val="18"/>
          <w:lang w:val="el-GR"/>
        </w:rPr>
        <w:t>Συμπεριλαμβανομένων των βραχυπρόθεσμων ευκαιριών απασχόλησης για 52.000 μακροχρόνια ανέργους και της απασχόλησης 43.000 ανέργων σε δημόσια έργα το επόμενο διάστημα.</w:t>
      </w:r>
    </w:p>
  </w:footnote>
  <w:footnote w:id="11">
    <w:p w:rsidR="00E63E6B" w:rsidRPr="008C3DED" w:rsidRDefault="00E63E6B" w:rsidP="009666A7">
      <w:pPr>
        <w:autoSpaceDE w:val="0"/>
        <w:autoSpaceDN w:val="0"/>
        <w:adjustRightInd w:val="0"/>
        <w:ind w:left="142" w:hanging="142"/>
        <w:jc w:val="both"/>
        <w:rPr>
          <w:rFonts w:ascii="Arial Narrow" w:hAnsi="Arial Narrow"/>
          <w:sz w:val="18"/>
          <w:szCs w:val="20"/>
        </w:rPr>
      </w:pPr>
      <w:r w:rsidRPr="008C3DED">
        <w:rPr>
          <w:rStyle w:val="a9"/>
          <w:rFonts w:ascii="Arial Narrow" w:hAnsi="Arial Narrow"/>
          <w:sz w:val="18"/>
          <w:szCs w:val="20"/>
        </w:rPr>
        <w:footnoteRef/>
      </w:r>
      <w:r w:rsidRPr="008C3DED">
        <w:rPr>
          <w:rFonts w:ascii="Arial Narrow" w:hAnsi="Arial Narrow"/>
          <w:sz w:val="18"/>
          <w:szCs w:val="20"/>
        </w:rPr>
        <w:t xml:space="preserve"> Σύμφωνα με τα στοιχεία της Τράπεζας της Ελλάδος, το Δεκέμβριο του 2015 η ποιότητα των δανειακών χαρτοφυλακίων στις ελληνικές τράπεζες είχε επιδεινωθεί σημαντικά, με το 44,2% του συνόλου των ανοιγμάτων να χαρακτηρίζονται ως μη εξυπηρετούμενα, έναντι του 39,9% τον Δεκέμβριο του 2014 (Έκθεση Νομισματικής Πολιτικής 2015-2016, Ιούνιος 2016).</w:t>
      </w:r>
    </w:p>
    <w:p w:rsidR="00E63E6B" w:rsidRPr="005F7481" w:rsidRDefault="00E63E6B" w:rsidP="009666A7">
      <w:pPr>
        <w:pStyle w:val="a8"/>
        <w:rPr>
          <w:lang w:val="el-GR"/>
        </w:rPr>
      </w:pPr>
    </w:p>
  </w:footnote>
  <w:footnote w:id="12">
    <w:p w:rsidR="00E63E6B" w:rsidRPr="008C3DED" w:rsidRDefault="00E63E6B" w:rsidP="008C3DED">
      <w:pPr>
        <w:pStyle w:val="a8"/>
        <w:ind w:left="284" w:hanging="284"/>
        <w:jc w:val="both"/>
        <w:rPr>
          <w:rFonts w:ascii="Arial Narrow" w:hAnsi="Arial Narrow"/>
          <w:sz w:val="18"/>
          <w:szCs w:val="18"/>
          <w:lang w:val="el-GR"/>
        </w:rPr>
      </w:pPr>
      <w:r w:rsidRPr="008C3DED">
        <w:rPr>
          <w:rStyle w:val="a9"/>
          <w:rFonts w:ascii="Arial Narrow" w:hAnsi="Arial Narrow"/>
          <w:sz w:val="18"/>
          <w:szCs w:val="18"/>
        </w:rPr>
        <w:footnoteRef/>
      </w:r>
      <w:r w:rsidRPr="008C3DED">
        <w:rPr>
          <w:rFonts w:ascii="Arial Narrow" w:hAnsi="Arial Narrow"/>
          <w:sz w:val="18"/>
          <w:szCs w:val="18"/>
          <w:lang w:val="el-GR"/>
        </w:rPr>
        <w:t xml:space="preserve"> </w:t>
      </w:r>
      <w:r w:rsidRPr="008C3DED">
        <w:rPr>
          <w:rFonts w:ascii="Arial Narrow" w:hAnsi="Arial Narrow"/>
          <w:sz w:val="18"/>
          <w:szCs w:val="18"/>
          <w:lang w:val="el-GR"/>
        </w:rPr>
        <w:tab/>
        <w:t>Στο δίμηνο Ιουλίου – Αυγούστου 2015, κατά μέσο όρο η υποχώρηση των δεικτών οικονομικού κλίματος έφτασε σε ετήσια βάση το 30,9% για τις επιχειρηματικές προσδοκίες στη βιομηχανία, το 53,2% για τις επιχειρηματικές προσδοκίες στις κατασκευές, το 29,9% για το Δείκτη Υπεύθυνων Προμηθειών (</w:t>
      </w:r>
      <w:r w:rsidRPr="008C3DED">
        <w:rPr>
          <w:rFonts w:ascii="Arial Narrow" w:hAnsi="Arial Narrow"/>
          <w:sz w:val="18"/>
          <w:szCs w:val="18"/>
          <w:lang w:val="en-US"/>
        </w:rPr>
        <w:t>PMI</w:t>
      </w:r>
      <w:r w:rsidRPr="008C3DED">
        <w:rPr>
          <w:rFonts w:ascii="Arial Narrow" w:hAnsi="Arial Narrow"/>
          <w:sz w:val="18"/>
          <w:szCs w:val="18"/>
          <w:lang w:val="el-GR"/>
        </w:rPr>
        <w:t xml:space="preserve">) και το 22,9% για το Δείκτη Οικονομικού Κλίματος. </w:t>
      </w:r>
    </w:p>
  </w:footnote>
  <w:footnote w:id="13">
    <w:p w:rsidR="00E63E6B" w:rsidRPr="008C3DED" w:rsidRDefault="00E63E6B" w:rsidP="008C3DED">
      <w:pPr>
        <w:pStyle w:val="a8"/>
        <w:ind w:left="284" w:hanging="284"/>
        <w:rPr>
          <w:rFonts w:ascii="Arial Narrow" w:hAnsi="Arial Narrow"/>
          <w:sz w:val="18"/>
          <w:szCs w:val="18"/>
          <w:lang w:val="el-GR"/>
        </w:rPr>
      </w:pPr>
      <w:r w:rsidRPr="008C3DED">
        <w:rPr>
          <w:rStyle w:val="a9"/>
          <w:rFonts w:ascii="Arial Narrow" w:hAnsi="Arial Narrow"/>
          <w:sz w:val="18"/>
          <w:szCs w:val="18"/>
        </w:rPr>
        <w:footnoteRef/>
      </w:r>
      <w:r w:rsidRPr="008C3DED">
        <w:rPr>
          <w:rFonts w:ascii="Arial Narrow" w:hAnsi="Arial Narrow"/>
          <w:sz w:val="18"/>
          <w:szCs w:val="18"/>
          <w:lang w:val="el-GR"/>
        </w:rPr>
        <w:tab/>
        <w:t>Η ανάσχεση της πτωτικής πορείας τω</w:t>
      </w:r>
      <w:r>
        <w:rPr>
          <w:rFonts w:ascii="Arial Narrow" w:hAnsi="Arial Narrow"/>
          <w:sz w:val="18"/>
          <w:szCs w:val="18"/>
          <w:lang w:val="el-GR"/>
        </w:rPr>
        <w:t xml:space="preserve"> </w:t>
      </w:r>
      <w:r w:rsidRPr="008C3DED">
        <w:rPr>
          <w:rFonts w:ascii="Arial Narrow" w:hAnsi="Arial Narrow"/>
          <w:sz w:val="18"/>
          <w:szCs w:val="18"/>
          <w:lang w:val="el-GR"/>
        </w:rPr>
        <w:t xml:space="preserve">ν επενδύσεων αποδίδεται στις κατασκευές πλην κατοικιών (+6,2% σε ετήσια βάση) , στον </w:t>
      </w:r>
      <w:r w:rsidRPr="008C3DED">
        <w:rPr>
          <w:rFonts w:ascii="Arial Narrow" w:hAnsi="Arial Narrow"/>
          <w:sz w:val="18"/>
          <w:szCs w:val="18"/>
          <w:lang w:val="el-GR"/>
        </w:rPr>
        <w:t>ε</w:t>
      </w:r>
      <w:r w:rsidRPr="008C3DED">
        <w:rPr>
          <w:rFonts w:ascii="Arial Narrow" w:hAnsi="Arial Narrow"/>
          <w:sz w:val="18"/>
          <w:szCs w:val="18"/>
          <w:lang w:val="el-GR"/>
        </w:rPr>
        <w:t>ξοπλισμό μεταλλικών προϊόντων και μηχανημάτων (+6,0%) και στα άλλα προϊόντα (+2,9%).</w:t>
      </w:r>
    </w:p>
  </w:footnote>
  <w:footnote w:id="14">
    <w:p w:rsidR="00E63E6B" w:rsidRPr="008C3DED" w:rsidRDefault="00E63E6B" w:rsidP="008C3DED">
      <w:pPr>
        <w:pStyle w:val="a8"/>
        <w:ind w:left="284" w:hanging="284"/>
        <w:rPr>
          <w:rFonts w:ascii="Arial Narrow" w:hAnsi="Arial Narrow"/>
          <w:sz w:val="18"/>
          <w:szCs w:val="18"/>
          <w:lang w:val="el-GR"/>
        </w:rPr>
      </w:pPr>
      <w:r w:rsidRPr="008C3DED">
        <w:rPr>
          <w:rStyle w:val="a9"/>
          <w:rFonts w:ascii="Arial Narrow" w:hAnsi="Arial Narrow"/>
          <w:sz w:val="18"/>
          <w:szCs w:val="18"/>
        </w:rPr>
        <w:footnoteRef/>
      </w:r>
      <w:r w:rsidRPr="008C3DED">
        <w:rPr>
          <w:rFonts w:ascii="Arial Narrow" w:hAnsi="Arial Narrow"/>
          <w:sz w:val="18"/>
          <w:szCs w:val="18"/>
          <w:lang w:val="el-GR"/>
        </w:rPr>
        <w:t xml:space="preserve"> </w:t>
      </w:r>
      <w:r w:rsidRPr="008C3DED">
        <w:rPr>
          <w:rFonts w:ascii="Arial Narrow" w:hAnsi="Arial Narrow"/>
          <w:sz w:val="18"/>
          <w:szCs w:val="18"/>
          <w:lang w:val="el-GR"/>
        </w:rPr>
        <w:tab/>
        <w:t>Έναντι της προηγούμενης εκτίμησης της ΕΛΣΤΑΤ για υποχώρηση των συνολικών εξαγωγών αγαθών και υπηρεσιών κατά 3,8% σε ετήσια βάση.</w:t>
      </w:r>
    </w:p>
  </w:footnote>
  <w:footnote w:id="15">
    <w:p w:rsidR="00E63E6B" w:rsidRPr="009C0189" w:rsidRDefault="00E63E6B" w:rsidP="009C0189">
      <w:pPr>
        <w:pStyle w:val="a8"/>
        <w:ind w:left="284" w:hanging="284"/>
        <w:rPr>
          <w:rFonts w:ascii="Arial Narrow" w:hAnsi="Arial Narrow"/>
          <w:sz w:val="18"/>
          <w:szCs w:val="18"/>
          <w:lang w:val="el-GR"/>
        </w:rPr>
      </w:pPr>
      <w:r w:rsidRPr="009C0189">
        <w:rPr>
          <w:rStyle w:val="a9"/>
          <w:rFonts w:ascii="Arial Narrow" w:hAnsi="Arial Narrow"/>
          <w:sz w:val="18"/>
          <w:szCs w:val="18"/>
        </w:rPr>
        <w:footnoteRef/>
      </w:r>
      <w:r w:rsidRPr="009C0189">
        <w:rPr>
          <w:rFonts w:ascii="Arial Narrow" w:hAnsi="Arial Narrow"/>
          <w:sz w:val="18"/>
          <w:szCs w:val="18"/>
          <w:lang w:val="el-GR"/>
        </w:rPr>
        <w:t xml:space="preserve"> </w:t>
      </w:r>
      <w:r w:rsidRPr="006E44AA">
        <w:rPr>
          <w:rFonts w:ascii="Arial Narrow" w:hAnsi="Arial Narrow"/>
          <w:sz w:val="18"/>
          <w:szCs w:val="18"/>
          <w:lang w:val="el-GR"/>
        </w:rPr>
        <w:tab/>
      </w:r>
      <w:r w:rsidRPr="009C0189">
        <w:rPr>
          <w:rFonts w:ascii="Arial Narrow" w:hAnsi="Arial Narrow"/>
          <w:sz w:val="18"/>
          <w:szCs w:val="18"/>
          <w:lang w:val="el-GR"/>
        </w:rPr>
        <w:t xml:space="preserve">Έναντι της προηγούμενης εκτίμησης της ΕΛΣΤΑΤ για υποχώρηση των συνολικών εισαγωγών αγαθών και υπηρεσιών κατά 6,9% σε ετήσια βάση. </w:t>
      </w:r>
    </w:p>
  </w:footnote>
  <w:footnote w:id="16">
    <w:p w:rsidR="00E63E6B" w:rsidRPr="009C0189" w:rsidRDefault="00E63E6B" w:rsidP="009C0189">
      <w:pPr>
        <w:pStyle w:val="a8"/>
        <w:ind w:left="284" w:hanging="284"/>
        <w:rPr>
          <w:rFonts w:ascii="Arial Narrow" w:hAnsi="Arial Narrow"/>
          <w:sz w:val="18"/>
          <w:szCs w:val="18"/>
          <w:lang w:val="el-GR"/>
        </w:rPr>
      </w:pPr>
      <w:r w:rsidRPr="009C0189">
        <w:rPr>
          <w:rStyle w:val="a9"/>
          <w:rFonts w:ascii="Arial Narrow" w:hAnsi="Arial Narrow"/>
          <w:sz w:val="18"/>
          <w:szCs w:val="18"/>
        </w:rPr>
        <w:footnoteRef/>
      </w:r>
      <w:r w:rsidRPr="009C0189">
        <w:rPr>
          <w:rFonts w:ascii="Arial Narrow" w:hAnsi="Arial Narrow"/>
          <w:sz w:val="18"/>
          <w:szCs w:val="18"/>
          <w:lang w:val="el-GR"/>
        </w:rPr>
        <w:t xml:space="preserve"> </w:t>
      </w:r>
      <w:r w:rsidRPr="006E44AA">
        <w:rPr>
          <w:rFonts w:ascii="Arial Narrow" w:hAnsi="Arial Narrow"/>
          <w:sz w:val="18"/>
          <w:szCs w:val="18"/>
          <w:lang w:val="el-GR"/>
        </w:rPr>
        <w:tab/>
      </w:r>
      <w:r w:rsidRPr="009C0189">
        <w:rPr>
          <w:rFonts w:ascii="Arial Narrow" w:hAnsi="Arial Narrow"/>
          <w:sz w:val="18"/>
          <w:szCs w:val="18"/>
          <w:lang w:val="el-GR"/>
        </w:rPr>
        <w:t xml:space="preserve">Βάσει της δεύτερης κοινοποίησης της Διαδικασίας Υπερβάλλοντος Ελλείμματος – ΔΥΕ (ΕΛΣΤΑΤ, Οκτώβριος 2016) </w:t>
      </w:r>
    </w:p>
  </w:footnote>
  <w:footnote w:id="17">
    <w:p w:rsidR="00E63E6B" w:rsidRPr="009C0189" w:rsidRDefault="00E63E6B" w:rsidP="009C0189">
      <w:pPr>
        <w:pStyle w:val="a8"/>
        <w:ind w:left="284" w:hanging="284"/>
        <w:jc w:val="both"/>
        <w:rPr>
          <w:rFonts w:ascii="Arial Narrow" w:hAnsi="Arial Narrow"/>
          <w:sz w:val="18"/>
          <w:szCs w:val="18"/>
          <w:lang w:val="el-GR"/>
        </w:rPr>
      </w:pPr>
      <w:r w:rsidRPr="009C0189">
        <w:rPr>
          <w:rStyle w:val="af4"/>
          <w:rFonts w:ascii="Arial Narrow" w:hAnsi="Arial Narrow"/>
          <w:sz w:val="18"/>
          <w:szCs w:val="18"/>
        </w:rPr>
        <w:footnoteRef/>
      </w:r>
      <w:r w:rsidRPr="006E44AA">
        <w:rPr>
          <w:rFonts w:ascii="Arial Narrow" w:hAnsi="Arial Narrow"/>
          <w:sz w:val="18"/>
          <w:szCs w:val="18"/>
          <w:lang w:val="el-GR"/>
        </w:rPr>
        <w:tab/>
      </w:r>
      <w:r w:rsidRPr="009C0189">
        <w:rPr>
          <w:rFonts w:ascii="Arial Narrow" w:hAnsi="Arial Narrow"/>
          <w:sz w:val="18"/>
          <w:szCs w:val="18"/>
          <w:lang w:val="el-GR"/>
        </w:rPr>
        <w:t xml:space="preserve">Οι εφάπαξ δαπάνες για την ανακεφαλαιοποίηση των τραπεζών μέσα στο 2015 είχαν επίπτωση της τάξης του 4,1% του ΑΕΠ στο </w:t>
      </w:r>
      <w:r w:rsidRPr="009C0189">
        <w:rPr>
          <w:rFonts w:ascii="Arial Narrow" w:hAnsi="Arial Narrow"/>
          <w:sz w:val="18"/>
          <w:szCs w:val="18"/>
          <w:lang w:val="el-GR"/>
        </w:rPr>
        <w:t>α</w:t>
      </w:r>
      <w:r w:rsidRPr="009C0189">
        <w:rPr>
          <w:rFonts w:ascii="Arial Narrow" w:hAnsi="Arial Narrow"/>
          <w:sz w:val="18"/>
          <w:szCs w:val="18"/>
          <w:lang w:val="el-GR"/>
        </w:rPr>
        <w:t xml:space="preserve">ποτέλεσμα της Γενικής Κυβέρνησης. </w:t>
      </w:r>
    </w:p>
  </w:footnote>
  <w:footnote w:id="18">
    <w:p w:rsidR="00E63E6B" w:rsidRPr="009C0189" w:rsidRDefault="00E63E6B" w:rsidP="009C0189">
      <w:pPr>
        <w:pStyle w:val="a8"/>
        <w:ind w:left="284" w:hanging="284"/>
        <w:rPr>
          <w:rFonts w:ascii="Arial Narrow" w:hAnsi="Arial Narrow"/>
          <w:sz w:val="18"/>
          <w:szCs w:val="18"/>
          <w:lang w:val="el-GR"/>
        </w:rPr>
      </w:pPr>
      <w:r w:rsidRPr="009C0189">
        <w:rPr>
          <w:rStyle w:val="a9"/>
          <w:rFonts w:ascii="Arial Narrow" w:hAnsi="Arial Narrow"/>
          <w:sz w:val="18"/>
          <w:szCs w:val="18"/>
        </w:rPr>
        <w:footnoteRef/>
      </w:r>
      <w:r w:rsidRPr="006E44AA">
        <w:rPr>
          <w:rFonts w:ascii="Arial Narrow" w:hAnsi="Arial Narrow"/>
          <w:sz w:val="18"/>
          <w:szCs w:val="18"/>
          <w:lang w:val="el-GR"/>
        </w:rPr>
        <w:tab/>
      </w:r>
      <w:r w:rsidRPr="009C0189">
        <w:rPr>
          <w:rFonts w:ascii="Arial Narrow" w:hAnsi="Arial Narrow"/>
          <w:sz w:val="18"/>
          <w:szCs w:val="18"/>
          <w:lang w:val="el-GR"/>
        </w:rPr>
        <w:t>Όπως υποδηλώνει και η βελτίωση βραχυχρόνιων οικονομικών δεικτών τρίτου τριμήνου 2016.</w:t>
      </w:r>
    </w:p>
  </w:footnote>
  <w:footnote w:id="19">
    <w:p w:rsidR="00E63E6B" w:rsidRPr="00B32A67" w:rsidRDefault="00E63E6B" w:rsidP="00B32A67">
      <w:pPr>
        <w:pStyle w:val="a8"/>
        <w:ind w:left="284" w:hanging="284"/>
        <w:jc w:val="both"/>
        <w:rPr>
          <w:rFonts w:ascii="Arial Narrow" w:hAnsi="Arial Narrow"/>
          <w:sz w:val="18"/>
          <w:szCs w:val="18"/>
          <w:lang w:val="el-GR"/>
        </w:rPr>
      </w:pPr>
      <w:r w:rsidRPr="00B32A67">
        <w:rPr>
          <w:rStyle w:val="a9"/>
          <w:rFonts w:ascii="Arial Narrow" w:hAnsi="Arial Narrow"/>
          <w:sz w:val="18"/>
          <w:szCs w:val="18"/>
        </w:rPr>
        <w:footnoteRef/>
      </w:r>
      <w:r w:rsidRPr="006E44AA">
        <w:rPr>
          <w:rFonts w:ascii="Arial Narrow" w:hAnsi="Arial Narrow"/>
          <w:sz w:val="18"/>
          <w:szCs w:val="18"/>
          <w:lang w:val="el-GR"/>
        </w:rPr>
        <w:tab/>
      </w:r>
      <w:r w:rsidRPr="00B32A67">
        <w:rPr>
          <w:rFonts w:ascii="Arial Narrow" w:hAnsi="Arial Narrow"/>
          <w:sz w:val="18"/>
          <w:szCs w:val="18"/>
          <w:lang w:val="el-GR"/>
        </w:rPr>
        <w:t>Έπειτα από την πρόσφατη αναθεώρηση των ετήσιων εθνικολογιστικών στοιχείων για το 2015,  οι εκτιμήσεις αυτές τελούν υπό την αίρεση τυχόν σημαντικών αποκλίσεων στην ιστορική τάση και την επίδραση μεταφοράς των εν λόγω μεγεθών, κατά την επικείμενη δημοσίευση των αναλυτικών τριμηνιαίων στοιχείων Εθνικών Λογαριασμών 3</w:t>
      </w:r>
      <w:r w:rsidRPr="00B32A67">
        <w:rPr>
          <w:rFonts w:ascii="Arial Narrow" w:hAnsi="Arial Narrow"/>
          <w:sz w:val="18"/>
          <w:szCs w:val="18"/>
          <w:vertAlign w:val="superscript"/>
          <w:lang w:val="el-GR"/>
        </w:rPr>
        <w:t>ου</w:t>
      </w:r>
      <w:r w:rsidRPr="00B32A67">
        <w:rPr>
          <w:rFonts w:ascii="Arial Narrow" w:hAnsi="Arial Narrow"/>
          <w:sz w:val="18"/>
          <w:szCs w:val="18"/>
          <w:lang w:val="el-GR"/>
        </w:rPr>
        <w:t xml:space="preserve"> τριμήνου 2016 . </w:t>
      </w:r>
    </w:p>
  </w:footnote>
  <w:footnote w:id="20">
    <w:p w:rsidR="00E63E6B" w:rsidRPr="00B32A67" w:rsidRDefault="00E63E6B" w:rsidP="00B32A67">
      <w:pPr>
        <w:pStyle w:val="a8"/>
        <w:ind w:left="284" w:hanging="284"/>
        <w:jc w:val="both"/>
        <w:rPr>
          <w:rFonts w:ascii="Arial Narrow" w:hAnsi="Arial Narrow"/>
          <w:sz w:val="18"/>
          <w:szCs w:val="18"/>
          <w:lang w:val="el-GR"/>
        </w:rPr>
      </w:pPr>
      <w:r w:rsidRPr="00B32A67">
        <w:rPr>
          <w:rStyle w:val="a9"/>
          <w:rFonts w:ascii="Arial Narrow" w:hAnsi="Arial Narrow"/>
          <w:sz w:val="18"/>
          <w:szCs w:val="18"/>
        </w:rPr>
        <w:footnoteRef/>
      </w:r>
      <w:r w:rsidRPr="00B32A67">
        <w:rPr>
          <w:rFonts w:ascii="Arial Narrow" w:hAnsi="Arial Narrow"/>
          <w:sz w:val="18"/>
          <w:szCs w:val="18"/>
          <w:lang w:val="el-GR"/>
        </w:rPr>
        <w:t xml:space="preserve"> </w:t>
      </w:r>
      <w:r w:rsidRPr="006E44AA">
        <w:rPr>
          <w:rFonts w:ascii="Arial Narrow" w:hAnsi="Arial Narrow"/>
          <w:sz w:val="18"/>
          <w:szCs w:val="18"/>
          <w:lang w:val="el-GR"/>
        </w:rPr>
        <w:tab/>
      </w:r>
      <w:r w:rsidRPr="00B32A67">
        <w:rPr>
          <w:rFonts w:ascii="Arial Narrow" w:hAnsi="Arial Narrow"/>
          <w:sz w:val="18"/>
          <w:szCs w:val="18"/>
          <w:lang w:val="el-GR"/>
        </w:rPr>
        <w:t>Βάσει της τριμηνιαίας έρευνας εργατικού δυναμικού της Ελληνικής Στατιστικής Αρχής.</w:t>
      </w:r>
    </w:p>
  </w:footnote>
  <w:footnote w:id="21">
    <w:p w:rsidR="00E63E6B" w:rsidRPr="00B32A67" w:rsidRDefault="00E63E6B" w:rsidP="00B32A67">
      <w:pPr>
        <w:pStyle w:val="a8"/>
        <w:ind w:left="284" w:hanging="284"/>
        <w:jc w:val="both"/>
        <w:rPr>
          <w:rFonts w:ascii="Arial Narrow" w:hAnsi="Arial Narrow"/>
          <w:sz w:val="18"/>
          <w:szCs w:val="18"/>
          <w:lang w:val="el-GR"/>
        </w:rPr>
      </w:pPr>
      <w:r w:rsidRPr="00B32A67">
        <w:rPr>
          <w:rStyle w:val="a9"/>
          <w:rFonts w:ascii="Arial Narrow" w:hAnsi="Arial Narrow"/>
          <w:sz w:val="18"/>
          <w:szCs w:val="18"/>
        </w:rPr>
        <w:footnoteRef/>
      </w:r>
      <w:r w:rsidRPr="00B32A67">
        <w:rPr>
          <w:rFonts w:ascii="Arial Narrow" w:hAnsi="Arial Narrow"/>
          <w:sz w:val="18"/>
          <w:szCs w:val="18"/>
          <w:lang w:val="el-GR"/>
        </w:rPr>
        <w:tab/>
        <w:t>Σύμφωνα με τα διαθέσιμα (εποχικά διορθωμένα) μηνιαία στοιχεία έρευνας εργατικού δυναμικού για το 2016 (ΕΛΣΤΑΤ).</w:t>
      </w:r>
    </w:p>
  </w:footnote>
  <w:footnote w:id="22">
    <w:p w:rsidR="00E63E6B" w:rsidRPr="00B32A67" w:rsidRDefault="00E63E6B" w:rsidP="00B32A67">
      <w:pPr>
        <w:pStyle w:val="a8"/>
        <w:ind w:left="284" w:hanging="284"/>
        <w:jc w:val="both"/>
        <w:rPr>
          <w:rFonts w:ascii="Arial Narrow" w:hAnsi="Arial Narrow"/>
          <w:sz w:val="18"/>
          <w:szCs w:val="18"/>
          <w:lang w:val="el-GR"/>
        </w:rPr>
      </w:pPr>
      <w:r w:rsidRPr="00B32A67">
        <w:rPr>
          <w:rStyle w:val="a9"/>
          <w:rFonts w:ascii="Arial Narrow" w:hAnsi="Arial Narrow"/>
          <w:sz w:val="18"/>
          <w:szCs w:val="18"/>
        </w:rPr>
        <w:footnoteRef/>
      </w:r>
      <w:r w:rsidRPr="00B32A67">
        <w:rPr>
          <w:rFonts w:ascii="Arial Narrow" w:hAnsi="Arial Narrow"/>
          <w:sz w:val="18"/>
          <w:szCs w:val="18"/>
          <w:lang w:val="el-GR"/>
        </w:rPr>
        <w:tab/>
        <w:t xml:space="preserve">Σε εθνικολογιστική βάση η εκτίμηση κυμαίνεται στο 21,8% του εργατικού δυναμικού, μειούμενη κατά ίσες μονάδες με την ΕΕΔ έναντι του 2015. </w:t>
      </w:r>
    </w:p>
  </w:footnote>
  <w:footnote w:id="23">
    <w:p w:rsidR="00E63E6B" w:rsidRPr="00B32A67" w:rsidRDefault="00E63E6B" w:rsidP="00B32A67">
      <w:pPr>
        <w:pStyle w:val="a8"/>
        <w:ind w:left="284" w:hanging="284"/>
        <w:jc w:val="both"/>
        <w:rPr>
          <w:rFonts w:ascii="Arial Narrow" w:hAnsi="Arial Narrow"/>
          <w:sz w:val="18"/>
          <w:szCs w:val="18"/>
          <w:lang w:val="el-GR"/>
        </w:rPr>
      </w:pPr>
      <w:r w:rsidRPr="00B32A67">
        <w:rPr>
          <w:rStyle w:val="a9"/>
          <w:rFonts w:ascii="Arial Narrow" w:hAnsi="Arial Narrow"/>
          <w:sz w:val="18"/>
          <w:szCs w:val="18"/>
        </w:rPr>
        <w:footnoteRef/>
      </w:r>
      <w:r w:rsidRPr="006E44AA">
        <w:rPr>
          <w:rFonts w:ascii="Arial Narrow" w:hAnsi="Arial Narrow"/>
          <w:sz w:val="18"/>
          <w:szCs w:val="18"/>
          <w:lang w:val="el-GR"/>
        </w:rPr>
        <w:tab/>
      </w:r>
      <w:r w:rsidRPr="00B32A67">
        <w:rPr>
          <w:rFonts w:ascii="Arial Narrow" w:hAnsi="Arial Narrow"/>
          <w:sz w:val="18"/>
          <w:szCs w:val="18"/>
          <w:lang w:val="el-GR"/>
        </w:rPr>
        <w:t xml:space="preserve">Την περίοδο από το δεύτερο τρίμηνο του 2015 έως και το δεύτερο τρίμηνο του 2016, η πλήρης απασχόληση εμφανίζει σημαντικά θετικούς ρυθμούς αύξησης, με μέσο όρο 2,7%. Αντίθετα η μερική απασχόληση, μετά από τέσσερα τρίμηνα μηδενικής κατά μέσο όρο μεταβολής, εμφάνισε ανάκαμψη μόλις το δεύτερο τρίμηνο του 2016 (+5,3% έναντι του δεύτερου τριμήνου 2015).  </w:t>
      </w:r>
    </w:p>
  </w:footnote>
  <w:footnote w:id="24">
    <w:p w:rsidR="00E63E6B" w:rsidRPr="00B1412B" w:rsidRDefault="00E63E6B" w:rsidP="00835903">
      <w:pPr>
        <w:pStyle w:val="a8"/>
        <w:tabs>
          <w:tab w:val="left" w:pos="284"/>
        </w:tabs>
        <w:ind w:left="284" w:hanging="284"/>
        <w:jc w:val="both"/>
        <w:rPr>
          <w:rFonts w:ascii="Arial Narrow" w:hAnsi="Arial Narrow" w:cs="Arial"/>
          <w:sz w:val="18"/>
          <w:szCs w:val="18"/>
          <w:lang w:val="el-GR"/>
        </w:rPr>
      </w:pPr>
      <w:r w:rsidRPr="00B1412B">
        <w:rPr>
          <w:rStyle w:val="a9"/>
          <w:rFonts w:ascii="Arial Narrow" w:hAnsi="Arial Narrow" w:cs="Arial"/>
          <w:sz w:val="18"/>
          <w:szCs w:val="18"/>
        </w:rPr>
        <w:footnoteRef/>
      </w:r>
      <w:r w:rsidRPr="00B1412B">
        <w:rPr>
          <w:rFonts w:ascii="Arial Narrow" w:hAnsi="Arial Narrow" w:cs="Arial"/>
          <w:sz w:val="18"/>
          <w:szCs w:val="18"/>
          <w:lang w:val="el-GR"/>
        </w:rPr>
        <w:t xml:space="preserve"> </w:t>
      </w:r>
      <w:r>
        <w:rPr>
          <w:rFonts w:ascii="Arial Narrow" w:hAnsi="Arial Narrow" w:cs="Arial"/>
          <w:sz w:val="18"/>
          <w:szCs w:val="18"/>
          <w:lang w:val="el-GR"/>
        </w:rPr>
        <w:tab/>
        <w:t>Από το μήνα αναφοράς Ιούλιο 2015, η Τράπεζα της Ελλάδος χρησιμοποιεί τις στατιστικές εξωτερικού εμπορίου της ΕΛΣΤΑΤ στη θ</w:t>
      </w:r>
      <w:r>
        <w:rPr>
          <w:rFonts w:ascii="Arial Narrow" w:hAnsi="Arial Narrow" w:cs="Arial"/>
          <w:sz w:val="18"/>
          <w:szCs w:val="18"/>
          <w:lang w:val="el-GR"/>
        </w:rPr>
        <w:t>έ</w:t>
      </w:r>
      <w:r>
        <w:rPr>
          <w:rFonts w:ascii="Arial Narrow" w:hAnsi="Arial Narrow" w:cs="Arial"/>
          <w:sz w:val="18"/>
          <w:szCs w:val="18"/>
          <w:lang w:val="el-GR"/>
        </w:rPr>
        <w:t>ση των στοιχείων διακανονισμού τραπεζικών συναλλαγών (</w:t>
      </w:r>
      <w:r>
        <w:rPr>
          <w:rFonts w:ascii="Arial Narrow" w:hAnsi="Arial Narrow" w:cs="Arial"/>
          <w:sz w:val="18"/>
          <w:szCs w:val="18"/>
          <w:lang w:val="en-US"/>
        </w:rPr>
        <w:t>settlements</w:t>
      </w:r>
      <w:r w:rsidRPr="00B1412B">
        <w:rPr>
          <w:rFonts w:ascii="Arial Narrow" w:hAnsi="Arial Narrow" w:cs="Arial"/>
          <w:sz w:val="18"/>
          <w:szCs w:val="18"/>
          <w:lang w:val="el-GR"/>
        </w:rPr>
        <w:t xml:space="preserve"> </w:t>
      </w:r>
      <w:r>
        <w:rPr>
          <w:rFonts w:ascii="Arial Narrow" w:hAnsi="Arial Narrow" w:cs="Arial"/>
          <w:sz w:val="18"/>
          <w:szCs w:val="18"/>
          <w:lang w:val="en-US"/>
        </w:rPr>
        <w:t>data</w:t>
      </w:r>
      <w:r w:rsidRPr="00B1412B">
        <w:rPr>
          <w:rFonts w:ascii="Arial Narrow" w:hAnsi="Arial Narrow" w:cs="Arial"/>
          <w:sz w:val="18"/>
          <w:szCs w:val="18"/>
          <w:lang w:val="el-GR"/>
        </w:rPr>
        <w:t>)</w:t>
      </w:r>
      <w:r>
        <w:rPr>
          <w:rFonts w:ascii="Arial Narrow" w:hAnsi="Arial Narrow" w:cs="Arial"/>
          <w:sz w:val="18"/>
          <w:szCs w:val="18"/>
          <w:lang w:val="el-GR"/>
        </w:rPr>
        <w:t>, που χρησιμοποιούνταν έως και τον Ιούνιο 2015. Επ</w:t>
      </w:r>
      <w:r>
        <w:rPr>
          <w:rFonts w:ascii="Arial Narrow" w:hAnsi="Arial Narrow" w:cs="Arial"/>
          <w:sz w:val="18"/>
          <w:szCs w:val="18"/>
          <w:lang w:val="el-GR"/>
        </w:rPr>
        <w:t>ί</w:t>
      </w:r>
      <w:r>
        <w:rPr>
          <w:rFonts w:ascii="Arial Narrow" w:hAnsi="Arial Narrow" w:cs="Arial"/>
          <w:sz w:val="18"/>
          <w:szCs w:val="18"/>
          <w:lang w:val="el-GR"/>
        </w:rPr>
        <w:t>σης, από το μήνα αναφοράς Ιανουάριο 2015, η παρουσίαση του ισοζυγίου πληρωμών βασίζεται στην 6</w:t>
      </w:r>
      <w:r w:rsidRPr="00B1412B">
        <w:rPr>
          <w:rFonts w:ascii="Arial Narrow" w:hAnsi="Arial Narrow" w:cs="Arial"/>
          <w:sz w:val="18"/>
          <w:szCs w:val="18"/>
          <w:vertAlign w:val="superscript"/>
          <w:lang w:val="el-GR"/>
        </w:rPr>
        <w:t>η</w:t>
      </w:r>
      <w:r>
        <w:rPr>
          <w:rFonts w:ascii="Arial Narrow" w:hAnsi="Arial Narrow" w:cs="Arial"/>
          <w:sz w:val="18"/>
          <w:szCs w:val="18"/>
          <w:lang w:val="el-GR"/>
        </w:rPr>
        <w:t xml:space="preserve"> έκδοση του Εγχειριδίου </w:t>
      </w:r>
      <w:r>
        <w:rPr>
          <w:rFonts w:ascii="Arial Narrow" w:hAnsi="Arial Narrow" w:cs="Arial"/>
          <w:sz w:val="18"/>
          <w:szCs w:val="18"/>
          <w:lang w:val="el-GR"/>
        </w:rPr>
        <w:t>Ι</w:t>
      </w:r>
      <w:r>
        <w:rPr>
          <w:rFonts w:ascii="Arial Narrow" w:hAnsi="Arial Narrow" w:cs="Arial"/>
          <w:sz w:val="18"/>
          <w:szCs w:val="18"/>
          <w:lang w:val="el-GR"/>
        </w:rPr>
        <w:t>σοζυγίου Πληρωμών (ΒΡΜ6-</w:t>
      </w:r>
      <w:r>
        <w:rPr>
          <w:rFonts w:ascii="Arial Narrow" w:hAnsi="Arial Narrow" w:cs="Arial"/>
          <w:sz w:val="18"/>
          <w:szCs w:val="18"/>
          <w:lang w:val="en-US"/>
        </w:rPr>
        <w:t>Balance</w:t>
      </w:r>
      <w:r w:rsidRPr="00B1412B">
        <w:rPr>
          <w:rFonts w:ascii="Arial Narrow" w:hAnsi="Arial Narrow" w:cs="Arial"/>
          <w:sz w:val="18"/>
          <w:szCs w:val="18"/>
          <w:lang w:val="el-GR"/>
        </w:rPr>
        <w:t xml:space="preserve"> </w:t>
      </w:r>
      <w:r>
        <w:rPr>
          <w:rFonts w:ascii="Arial Narrow" w:hAnsi="Arial Narrow" w:cs="Arial"/>
          <w:sz w:val="18"/>
          <w:szCs w:val="18"/>
          <w:lang w:val="en-US"/>
        </w:rPr>
        <w:t>of</w:t>
      </w:r>
      <w:r w:rsidRPr="00B1412B">
        <w:rPr>
          <w:rFonts w:ascii="Arial Narrow" w:hAnsi="Arial Narrow" w:cs="Arial"/>
          <w:sz w:val="18"/>
          <w:szCs w:val="18"/>
          <w:lang w:val="el-GR"/>
        </w:rPr>
        <w:t xml:space="preserve"> </w:t>
      </w:r>
      <w:r>
        <w:rPr>
          <w:rFonts w:ascii="Arial Narrow" w:hAnsi="Arial Narrow" w:cs="Arial"/>
          <w:sz w:val="18"/>
          <w:szCs w:val="18"/>
          <w:lang w:val="en-US"/>
        </w:rPr>
        <w:t>Payments</w:t>
      </w:r>
      <w:r>
        <w:rPr>
          <w:rFonts w:ascii="Arial Narrow" w:hAnsi="Arial Narrow" w:cs="Arial"/>
          <w:sz w:val="18"/>
          <w:szCs w:val="18"/>
          <w:lang w:val="el-GR"/>
        </w:rPr>
        <w:t xml:space="preserve"> </w:t>
      </w:r>
      <w:r>
        <w:rPr>
          <w:rFonts w:ascii="Arial Narrow" w:hAnsi="Arial Narrow" w:cs="Arial"/>
          <w:sz w:val="18"/>
          <w:szCs w:val="18"/>
          <w:lang w:val="en-US"/>
        </w:rPr>
        <w:t>Manual</w:t>
      </w:r>
      <w:r w:rsidRPr="00B1412B">
        <w:rPr>
          <w:rFonts w:ascii="Arial Narrow" w:hAnsi="Arial Narrow" w:cs="Arial"/>
          <w:sz w:val="18"/>
          <w:szCs w:val="18"/>
          <w:lang w:val="el-GR"/>
        </w:rPr>
        <w:t xml:space="preserve"> 6</w:t>
      </w:r>
      <w:r w:rsidRPr="00B1412B">
        <w:rPr>
          <w:rFonts w:ascii="Arial Narrow" w:hAnsi="Arial Narrow" w:cs="Arial"/>
          <w:sz w:val="18"/>
          <w:szCs w:val="18"/>
          <w:vertAlign w:val="superscript"/>
          <w:lang w:val="en-US"/>
        </w:rPr>
        <w:t>th</w:t>
      </w:r>
      <w:r w:rsidRPr="00B1412B">
        <w:rPr>
          <w:rFonts w:ascii="Arial Narrow" w:hAnsi="Arial Narrow" w:cs="Arial"/>
          <w:sz w:val="18"/>
          <w:szCs w:val="18"/>
          <w:lang w:val="el-GR"/>
        </w:rPr>
        <w:t xml:space="preserve"> </w:t>
      </w:r>
      <w:r>
        <w:rPr>
          <w:rFonts w:ascii="Arial Narrow" w:hAnsi="Arial Narrow" w:cs="Arial"/>
          <w:sz w:val="18"/>
          <w:szCs w:val="18"/>
          <w:lang w:val="en-US"/>
        </w:rPr>
        <w:t>edition</w:t>
      </w:r>
      <w:r w:rsidRPr="00B1412B">
        <w:rPr>
          <w:rFonts w:ascii="Arial Narrow" w:hAnsi="Arial Narrow" w:cs="Arial"/>
          <w:sz w:val="18"/>
          <w:szCs w:val="18"/>
          <w:lang w:val="el-GR"/>
        </w:rPr>
        <w:t>).</w:t>
      </w:r>
      <w:r>
        <w:rPr>
          <w:rFonts w:ascii="Arial Narrow" w:hAnsi="Arial Narrow" w:cs="Arial"/>
          <w:sz w:val="18"/>
          <w:szCs w:val="18"/>
          <w:lang w:val="el-GR"/>
        </w:rPr>
        <w:t xml:space="preserve"> Περισσότερες πληροφορίες μπορείτε να βρείτε στα σχετικά δελτία τύπου που δημοσίευσε η ΤτΕ στις 21/9/2015 και 23/3/2015 αντίστοιχα.</w:t>
      </w:r>
    </w:p>
  </w:footnote>
  <w:footnote w:id="25">
    <w:p w:rsidR="00E63E6B" w:rsidRPr="00B32A67" w:rsidRDefault="00E63E6B" w:rsidP="00B32A67">
      <w:pPr>
        <w:pStyle w:val="a8"/>
        <w:ind w:left="284" w:hanging="284"/>
        <w:jc w:val="both"/>
        <w:rPr>
          <w:rFonts w:ascii="Arial Narrow" w:hAnsi="Arial Narrow" w:cs="Arial"/>
          <w:sz w:val="18"/>
          <w:szCs w:val="18"/>
          <w:lang w:val="el-GR"/>
        </w:rPr>
      </w:pPr>
      <w:r w:rsidRPr="00B32A67">
        <w:rPr>
          <w:rStyle w:val="a9"/>
          <w:rFonts w:ascii="Arial Narrow" w:hAnsi="Arial Narrow" w:cs="Arial"/>
          <w:sz w:val="18"/>
          <w:szCs w:val="18"/>
        </w:rPr>
        <w:footnoteRef/>
      </w:r>
      <w:r w:rsidRPr="00D54FA4">
        <w:rPr>
          <w:rFonts w:ascii="Arial Narrow" w:hAnsi="Arial Narrow" w:cs="Arial"/>
          <w:sz w:val="18"/>
          <w:szCs w:val="18"/>
          <w:lang w:val="el-GR"/>
        </w:rPr>
        <w:tab/>
      </w:r>
      <w:r w:rsidRPr="00B32A67">
        <w:rPr>
          <w:rFonts w:ascii="Arial Narrow" w:hAnsi="Arial Narrow" w:cs="Arial"/>
          <w:sz w:val="18"/>
          <w:szCs w:val="18"/>
          <w:lang w:val="el-GR"/>
        </w:rPr>
        <w:t xml:space="preserve">Η αύξηση των εισαγωγών αγαθών χωρίς καύσιμα και πλοία στους πρώτους οκτώ μήνες του 2016 οφείλεται κυρίως στην αύξηση που σημειώθηκε τον Ιούλιο και τον Αύγουστο, σε σύγκριση με τις εισαγωγές του διμήνου Ιουλίου-Αυγούστου του 2015, οι οποίες είχαν σημειώσει μεγάλη πτώση λόγω της εφαρμογής των περιορισμών στην κίνηση κεφαλαίων. </w:t>
      </w:r>
    </w:p>
  </w:footnote>
  <w:footnote w:id="26">
    <w:p w:rsidR="00E63E6B" w:rsidRPr="00B32A67" w:rsidRDefault="00E63E6B" w:rsidP="00B32A67">
      <w:pPr>
        <w:pStyle w:val="a8"/>
        <w:ind w:left="284" w:hanging="284"/>
        <w:jc w:val="both"/>
        <w:rPr>
          <w:rFonts w:ascii="Arial Narrow" w:hAnsi="Arial Narrow" w:cs="Arial"/>
          <w:sz w:val="18"/>
          <w:szCs w:val="18"/>
          <w:lang w:val="el-GR"/>
        </w:rPr>
      </w:pPr>
      <w:r w:rsidRPr="00B32A67">
        <w:rPr>
          <w:rFonts w:ascii="Arial Narrow" w:hAnsi="Arial Narrow" w:cs="Arial"/>
          <w:sz w:val="18"/>
          <w:szCs w:val="18"/>
          <w:vertAlign w:val="superscript"/>
          <w:lang w:val="el-GR"/>
        </w:rPr>
        <w:footnoteRef/>
      </w:r>
      <w:r w:rsidRPr="00D54FA4">
        <w:rPr>
          <w:rFonts w:ascii="Arial Narrow" w:hAnsi="Arial Narrow" w:cs="Arial"/>
          <w:sz w:val="18"/>
          <w:szCs w:val="18"/>
          <w:lang w:val="el-GR"/>
        </w:rPr>
        <w:tab/>
      </w:r>
      <w:r w:rsidRPr="00B32A67">
        <w:rPr>
          <w:rFonts w:ascii="Arial Narrow" w:hAnsi="Arial Narrow" w:cs="Arial"/>
          <w:sz w:val="18"/>
          <w:szCs w:val="18"/>
          <w:lang w:val="el-GR"/>
        </w:rPr>
        <w:t xml:space="preserve">Οι εισπράξεις των λοιπών πρωτογενών εισοδημάτων και των δευτερογενών εισοδημάτων της </w:t>
      </w:r>
      <w:r>
        <w:rPr>
          <w:rFonts w:ascii="Arial Narrow" w:hAnsi="Arial Narrow" w:cs="Arial"/>
          <w:sz w:val="18"/>
          <w:szCs w:val="18"/>
          <w:lang w:val="el-GR"/>
        </w:rPr>
        <w:t>Γ</w:t>
      </w:r>
      <w:r w:rsidRPr="00B32A67">
        <w:rPr>
          <w:rFonts w:ascii="Arial Narrow" w:hAnsi="Arial Narrow" w:cs="Arial"/>
          <w:sz w:val="18"/>
          <w:szCs w:val="18"/>
          <w:lang w:val="el-GR"/>
        </w:rPr>
        <w:t xml:space="preserve">ενικής </w:t>
      </w:r>
      <w:r>
        <w:rPr>
          <w:rFonts w:ascii="Arial Narrow" w:hAnsi="Arial Narrow" w:cs="Arial"/>
          <w:sz w:val="18"/>
          <w:szCs w:val="18"/>
          <w:lang w:val="el-GR"/>
        </w:rPr>
        <w:t>Κ</w:t>
      </w:r>
      <w:r w:rsidRPr="00B32A67">
        <w:rPr>
          <w:rFonts w:ascii="Arial Narrow" w:hAnsi="Arial Narrow" w:cs="Arial"/>
          <w:sz w:val="18"/>
          <w:szCs w:val="18"/>
          <w:lang w:val="el-GR"/>
        </w:rPr>
        <w:t>υβέρνησης περιλαμβάνουν κυρίως τις άμεσες ενισχύσεις και επιδοτήσεις στο πλαίσιο της Κοινής Αγροτικής Πολιτικής (ΚΑΠ), καθώς και τις καταβολές από το Ευρωπαϊκό Κοινωνικό Ταμείο, ενώ οι πληρωμές περιλαμβάνουν κυρίως τις αποδόσεις προς τον Κοινοτικό Προϋπολογισμό. Οι ει</w:t>
      </w:r>
      <w:r w:rsidRPr="00B32A67">
        <w:rPr>
          <w:rFonts w:ascii="Arial Narrow" w:hAnsi="Arial Narrow" w:cs="Arial"/>
          <w:sz w:val="18"/>
          <w:szCs w:val="18"/>
          <w:lang w:val="el-GR"/>
        </w:rPr>
        <w:t>σ</w:t>
      </w:r>
      <w:r w:rsidRPr="00B32A67">
        <w:rPr>
          <w:rFonts w:ascii="Arial Narrow" w:hAnsi="Arial Narrow" w:cs="Arial"/>
          <w:sz w:val="18"/>
          <w:szCs w:val="18"/>
          <w:lang w:val="el-GR"/>
        </w:rPr>
        <w:t>πράξεις κεφαλαίων της Γενικής Κυβέρνησης περιλαμβάνουν κυρίως τις απολήψεις από τα Διαρθρωτικά Ταμεία ―πλην του Ευρωπ</w:t>
      </w:r>
      <w:r w:rsidRPr="00B32A67">
        <w:rPr>
          <w:rFonts w:ascii="Arial Narrow" w:hAnsi="Arial Narrow" w:cs="Arial"/>
          <w:sz w:val="18"/>
          <w:szCs w:val="18"/>
          <w:lang w:val="el-GR"/>
        </w:rPr>
        <w:t>α</w:t>
      </w:r>
      <w:r w:rsidRPr="00B32A67">
        <w:rPr>
          <w:rFonts w:ascii="Arial Narrow" w:hAnsi="Arial Narrow" w:cs="Arial"/>
          <w:sz w:val="18"/>
          <w:szCs w:val="18"/>
          <w:lang w:val="el-GR"/>
        </w:rPr>
        <w:t>ϊκού Κοινωνικού Ταμείου.</w:t>
      </w:r>
    </w:p>
  </w:footnote>
  <w:footnote w:id="27">
    <w:p w:rsidR="00E63E6B" w:rsidRPr="00B32A67" w:rsidRDefault="00E63E6B" w:rsidP="0023415B">
      <w:pPr>
        <w:pStyle w:val="a8"/>
        <w:ind w:left="284" w:hanging="284"/>
        <w:jc w:val="both"/>
        <w:rPr>
          <w:rFonts w:ascii="Arial Narrow" w:hAnsi="Arial Narrow" w:cs="Arial"/>
          <w:sz w:val="18"/>
          <w:szCs w:val="18"/>
          <w:lang w:val="el-GR"/>
        </w:rPr>
      </w:pPr>
      <w:r w:rsidRPr="00B32A67">
        <w:rPr>
          <w:rStyle w:val="a9"/>
          <w:rFonts w:ascii="Arial Narrow" w:hAnsi="Arial Narrow" w:cs="Arial"/>
          <w:sz w:val="18"/>
          <w:szCs w:val="18"/>
          <w:lang w:val="el-GR"/>
        </w:rPr>
        <w:footnoteRef/>
      </w:r>
      <w:r w:rsidRPr="00B32A67">
        <w:rPr>
          <w:rFonts w:ascii="Arial Narrow" w:hAnsi="Arial Narrow"/>
          <w:sz w:val="18"/>
          <w:szCs w:val="18"/>
          <w:lang w:val="el-GR"/>
        </w:rPr>
        <w:t xml:space="preserve"> </w:t>
      </w:r>
      <w:r w:rsidRPr="0015433B">
        <w:rPr>
          <w:rFonts w:ascii="Arial Narrow" w:hAnsi="Arial Narrow"/>
          <w:sz w:val="18"/>
          <w:szCs w:val="18"/>
          <w:lang w:val="el-GR"/>
        </w:rPr>
        <w:tab/>
      </w:r>
      <w:r w:rsidRPr="00B32A67">
        <w:rPr>
          <w:rFonts w:ascii="Arial Narrow" w:hAnsi="Arial Narrow" w:cs="Arial"/>
          <w:sz w:val="18"/>
          <w:szCs w:val="18"/>
          <w:lang w:val="el-GR"/>
        </w:rPr>
        <w:t>Την περίοδο Ιανουαρίου-Αυγούστου 2016 καταγράφηκε μείωση των απαιτήσεων και των υποχρεώσεων λόγω της στατιστικής πρ</w:t>
      </w:r>
      <w:r w:rsidRPr="00B32A67">
        <w:rPr>
          <w:rFonts w:ascii="Arial Narrow" w:hAnsi="Arial Narrow" w:cs="Arial"/>
          <w:sz w:val="18"/>
          <w:szCs w:val="18"/>
          <w:lang w:val="el-GR"/>
        </w:rPr>
        <w:t>ο</w:t>
      </w:r>
      <w:r w:rsidRPr="00B32A67">
        <w:rPr>
          <w:rFonts w:ascii="Arial Narrow" w:hAnsi="Arial Narrow" w:cs="Arial"/>
          <w:sz w:val="18"/>
          <w:szCs w:val="18"/>
          <w:lang w:val="el-GR"/>
        </w:rPr>
        <w:t>σαρμογής που συνδέεται με την έκδοση τραπεζογραμματίων, ύψους 2,8 και 3,2 δισ. ευρώ αντίστοιχα.</w:t>
      </w:r>
    </w:p>
  </w:footnote>
  <w:footnote w:id="28">
    <w:p w:rsidR="00E63E6B" w:rsidRPr="00D54FA4" w:rsidRDefault="00E63E6B" w:rsidP="00D54FA4">
      <w:pPr>
        <w:tabs>
          <w:tab w:val="left" w:pos="284"/>
        </w:tabs>
        <w:ind w:left="284" w:hanging="284"/>
        <w:jc w:val="both"/>
      </w:pPr>
      <w:r>
        <w:rPr>
          <w:rStyle w:val="a9"/>
        </w:rPr>
        <w:footnoteRef/>
      </w:r>
      <w:r w:rsidRPr="00D54FA4">
        <w:tab/>
      </w:r>
      <w:r w:rsidRPr="00D54FA4">
        <w:rPr>
          <w:rFonts w:ascii="Arial Narrow" w:hAnsi="Arial Narrow"/>
          <w:sz w:val="18"/>
          <w:szCs w:val="18"/>
        </w:rPr>
        <w:t>Σημειώνεται ότι η προς τα κάτω αναθεώρηση των εκτιμήσεων της ΕΛΣΤΑΤ για τις συνιστώσες του ΑΕΠ 2015 (Οκτώβριος 2016) κ</w:t>
      </w:r>
      <w:r w:rsidRPr="00D54FA4">
        <w:rPr>
          <w:rFonts w:ascii="Arial Narrow" w:hAnsi="Arial Narrow"/>
          <w:sz w:val="18"/>
          <w:szCs w:val="18"/>
        </w:rPr>
        <w:t>α</w:t>
      </w:r>
      <w:r w:rsidRPr="00D54FA4">
        <w:rPr>
          <w:rFonts w:ascii="Arial Narrow" w:hAnsi="Arial Narrow"/>
          <w:sz w:val="18"/>
          <w:szCs w:val="18"/>
        </w:rPr>
        <w:t>θιστά ως προϋπόθεση για την επαλήθευση του τρέχοντος μακροοικονομικού σεναρίου ότι η δημοσίευση των τριμηνιαίων στοιχείων 3</w:t>
      </w:r>
      <w:r w:rsidRPr="00D54FA4">
        <w:rPr>
          <w:rFonts w:ascii="Arial Narrow" w:hAnsi="Arial Narrow"/>
          <w:sz w:val="18"/>
          <w:szCs w:val="18"/>
          <w:vertAlign w:val="superscript"/>
        </w:rPr>
        <w:t>ου</w:t>
      </w:r>
      <w:r w:rsidRPr="00D54FA4">
        <w:rPr>
          <w:rFonts w:ascii="Arial Narrow" w:hAnsi="Arial Narrow"/>
          <w:sz w:val="18"/>
          <w:szCs w:val="18"/>
        </w:rPr>
        <w:t xml:space="preserve"> τριμήνου 2016 δεν θα μεταβάλει σημαντικά την τάση και την επίδραση μεταφοράς των συνιστωσών στο 2016. Σε αντίθετη περί</w:t>
      </w:r>
      <w:r w:rsidRPr="00D54FA4">
        <w:rPr>
          <w:rFonts w:ascii="Arial Narrow" w:hAnsi="Arial Narrow"/>
          <w:sz w:val="18"/>
          <w:szCs w:val="18"/>
        </w:rPr>
        <w:t>π</w:t>
      </w:r>
      <w:r w:rsidRPr="00D54FA4">
        <w:rPr>
          <w:rFonts w:ascii="Arial Narrow" w:hAnsi="Arial Narrow"/>
          <w:sz w:val="18"/>
          <w:szCs w:val="18"/>
        </w:rPr>
        <w:t>τωση, οι παρούσες εκτιμήσεις ενδέχεται να αναθεωρηθούν, σε συνάρτηση με τον εκτιμώμενο ρυθμό ανάκαμψης για το δεύτερο εξ</w:t>
      </w:r>
      <w:r w:rsidRPr="00D54FA4">
        <w:rPr>
          <w:rFonts w:ascii="Arial Narrow" w:hAnsi="Arial Narrow"/>
          <w:sz w:val="18"/>
          <w:szCs w:val="18"/>
        </w:rPr>
        <w:t>ά</w:t>
      </w:r>
      <w:r w:rsidRPr="00D54FA4">
        <w:rPr>
          <w:rFonts w:ascii="Arial Narrow" w:hAnsi="Arial Narrow"/>
          <w:sz w:val="18"/>
          <w:szCs w:val="18"/>
        </w:rPr>
        <w:t>μηνο του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B" w:rsidRPr="00D40E4A" w:rsidRDefault="00E63E6B" w:rsidP="00D40E4A">
    <w:pPr>
      <w:pStyle w:val="a3"/>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 xml:space="preserve">ΚΕΦΑΛΑΙΟ </w:t>
    </w:r>
    <w:r>
      <w:rPr>
        <w:rFonts w:ascii="Arial Narrow" w:hAnsi="Arial Narrow"/>
        <w:b/>
        <w:color w:val="808080"/>
        <w:sz w:val="22"/>
      </w:rPr>
      <w:t>1</w:t>
    </w:r>
  </w:p>
  <w:p w:rsidR="00E63E6B" w:rsidRDefault="00E63E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B" w:rsidRPr="00D40E4A" w:rsidRDefault="00E63E6B" w:rsidP="00D40E4A">
    <w:pPr>
      <w:pStyle w:val="a3"/>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ΚΕΦΑΛΑΙΟ</w:t>
    </w:r>
    <w:r>
      <w:rPr>
        <w:rFonts w:ascii="Arial Narrow" w:hAnsi="Arial Narrow"/>
        <w:b/>
        <w:color w:val="808080"/>
        <w:sz w:val="22"/>
      </w:rPr>
      <w:t xml:space="preserve"> </w:t>
    </w:r>
    <w:r w:rsidRPr="00D40E4A">
      <w:rPr>
        <w:rFonts w:ascii="Arial Narrow" w:hAnsi="Arial Narrow"/>
        <w:b/>
        <w:color w:val="808080"/>
        <w:sz w:val="22"/>
      </w:rPr>
      <w:t xml:space="preserve"> </w:t>
    </w:r>
    <w:r>
      <w:rPr>
        <w:rFonts w:ascii="Arial Narrow" w:hAnsi="Arial Narrow"/>
        <w:b/>
        <w:color w:val="808080"/>
        <w:sz w:val="2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1">
    <w:nsid w:val="00A13FA5"/>
    <w:multiLevelType w:val="hybridMultilevel"/>
    <w:tmpl w:val="CEF64C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25F60CF5"/>
    <w:multiLevelType w:val="multilevel"/>
    <w:tmpl w:val="754079D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nsid w:val="26C47424"/>
    <w:multiLevelType w:val="hybridMultilevel"/>
    <w:tmpl w:val="2B2EC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4C653B8"/>
    <w:multiLevelType w:val="hybridMultilevel"/>
    <w:tmpl w:val="FBA6A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440CFD"/>
    <w:multiLevelType w:val="multilevel"/>
    <w:tmpl w:val="617EAC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5823ED5"/>
    <w:multiLevelType w:val="hybridMultilevel"/>
    <w:tmpl w:val="732A9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9D410FC"/>
    <w:multiLevelType w:val="multilevel"/>
    <w:tmpl w:val="A07893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BFB677E"/>
    <w:multiLevelType w:val="hybridMultilevel"/>
    <w:tmpl w:val="52A28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8C35829"/>
    <w:multiLevelType w:val="hybridMultilevel"/>
    <w:tmpl w:val="67C0995C"/>
    <w:lvl w:ilvl="0" w:tplc="FFFFFFFF">
      <w:start w:val="1"/>
      <w:numFmt w:val="decimal"/>
      <w:lvlText w:val="%1."/>
      <w:lvlJc w:val="left"/>
      <w:pPr>
        <w:tabs>
          <w:tab w:val="num" w:pos="502"/>
        </w:tabs>
        <w:ind w:left="502" w:hanging="360"/>
      </w:pPr>
      <w:rPr>
        <w:rFonts w:cs="Times New Roman"/>
      </w:rPr>
    </w:lvl>
    <w:lvl w:ilvl="1" w:tplc="FFFFFFFF">
      <w:start w:val="1"/>
      <w:numFmt w:val="bullet"/>
      <w:lvlText w:val=""/>
      <w:lvlJc w:val="left"/>
      <w:pPr>
        <w:tabs>
          <w:tab w:val="num" w:pos="1440"/>
        </w:tabs>
        <w:ind w:left="1440" w:hanging="360"/>
      </w:pPr>
      <w:rPr>
        <w:rFonts w:ascii="Symbol" w:hAnsi="Symbol" w:hint="default"/>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70E66530"/>
    <w:multiLevelType w:val="hybridMultilevel"/>
    <w:tmpl w:val="5A748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F17817"/>
    <w:multiLevelType w:val="hybridMultilevel"/>
    <w:tmpl w:val="B8B47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66F4694"/>
    <w:multiLevelType w:val="multilevel"/>
    <w:tmpl w:val="B7EEB65A"/>
    <w:lvl w:ilvl="0">
      <w:start w:val="1"/>
      <w:numFmt w:val="bullet"/>
      <w:lvlText w:val="●"/>
      <w:lvlJc w:val="left"/>
      <w:pPr>
        <w:ind w:left="720" w:firstLine="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78884FF5"/>
    <w:multiLevelType w:val="multilevel"/>
    <w:tmpl w:val="60D088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10"/>
  </w:num>
  <w:num w:numId="3">
    <w:abstractNumId w:val="6"/>
  </w:num>
  <w:num w:numId="4">
    <w:abstractNumId w:val="3"/>
  </w:num>
  <w:num w:numId="5">
    <w:abstractNumId w:val="0"/>
  </w:num>
  <w:num w:numId="6">
    <w:abstractNumId w:val="9"/>
  </w:num>
  <w:num w:numId="7">
    <w:abstractNumId w:val="5"/>
  </w:num>
  <w:num w:numId="8">
    <w:abstractNumId w:val="12"/>
  </w:num>
  <w:num w:numId="9">
    <w:abstractNumId w:val="2"/>
  </w:num>
  <w:num w:numId="10">
    <w:abstractNumId w:val="7"/>
  </w:num>
  <w:num w:numId="11">
    <w:abstractNumId w:val="13"/>
  </w:num>
  <w:num w:numId="12">
    <w:abstractNumId w:val="11"/>
  </w:num>
  <w:num w:numId="13">
    <w:abstractNumId w:val="4"/>
  </w:num>
  <w:num w:numId="14">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mirrorMargins/>
  <w:attachedTemplate r:id="rId1"/>
  <w:stylePaneFormatFilter w:val="3F01"/>
  <w:defaultTabStop w:val="737"/>
  <w:autoHyphenation/>
  <w:hyphenationZone w:val="284"/>
  <w:evenAndOddHeaders/>
  <w:noPunctuationKerning/>
  <w:characterSpacingControl w:val="doNotCompress"/>
  <w:footnotePr>
    <w:footnote w:id="-1"/>
    <w:footnote w:id="0"/>
  </w:footnotePr>
  <w:endnotePr>
    <w:endnote w:id="-1"/>
    <w:endnote w:id="0"/>
  </w:endnotePr>
  <w:compat/>
  <w:rsids>
    <w:rsidRoot w:val="00DF199F"/>
    <w:rsid w:val="0000558D"/>
    <w:rsid w:val="00010236"/>
    <w:rsid w:val="00012444"/>
    <w:rsid w:val="00013E46"/>
    <w:rsid w:val="00021022"/>
    <w:rsid w:val="0002317F"/>
    <w:rsid w:val="00024782"/>
    <w:rsid w:val="00024F99"/>
    <w:rsid w:val="000311E7"/>
    <w:rsid w:val="000317CA"/>
    <w:rsid w:val="00033BE0"/>
    <w:rsid w:val="00034212"/>
    <w:rsid w:val="0003514E"/>
    <w:rsid w:val="00035BB6"/>
    <w:rsid w:val="00036A76"/>
    <w:rsid w:val="000370D8"/>
    <w:rsid w:val="0003726E"/>
    <w:rsid w:val="000403BD"/>
    <w:rsid w:val="00040823"/>
    <w:rsid w:val="00042E16"/>
    <w:rsid w:val="00043FE7"/>
    <w:rsid w:val="00046358"/>
    <w:rsid w:val="000467F7"/>
    <w:rsid w:val="00053B76"/>
    <w:rsid w:val="00055D02"/>
    <w:rsid w:val="000562F0"/>
    <w:rsid w:val="00060AC4"/>
    <w:rsid w:val="00062F53"/>
    <w:rsid w:val="000650ED"/>
    <w:rsid w:val="00065129"/>
    <w:rsid w:val="0006551E"/>
    <w:rsid w:val="0006668A"/>
    <w:rsid w:val="00070F33"/>
    <w:rsid w:val="00071882"/>
    <w:rsid w:val="00071A66"/>
    <w:rsid w:val="00074F4A"/>
    <w:rsid w:val="000750C6"/>
    <w:rsid w:val="0007566B"/>
    <w:rsid w:val="00077FEE"/>
    <w:rsid w:val="00080F61"/>
    <w:rsid w:val="00085535"/>
    <w:rsid w:val="00085FA4"/>
    <w:rsid w:val="000936A6"/>
    <w:rsid w:val="00095B94"/>
    <w:rsid w:val="00096BEC"/>
    <w:rsid w:val="00097505"/>
    <w:rsid w:val="000A34A7"/>
    <w:rsid w:val="000B0AE7"/>
    <w:rsid w:val="000B1168"/>
    <w:rsid w:val="000B29A8"/>
    <w:rsid w:val="000B3279"/>
    <w:rsid w:val="000B3F30"/>
    <w:rsid w:val="000C3C25"/>
    <w:rsid w:val="000C6A7F"/>
    <w:rsid w:val="000E093E"/>
    <w:rsid w:val="000E2368"/>
    <w:rsid w:val="000E4ACA"/>
    <w:rsid w:val="000E6FEF"/>
    <w:rsid w:val="000F17F0"/>
    <w:rsid w:val="000F2D0A"/>
    <w:rsid w:val="000F3642"/>
    <w:rsid w:val="000F3C1B"/>
    <w:rsid w:val="000F584C"/>
    <w:rsid w:val="00101AEC"/>
    <w:rsid w:val="00107C95"/>
    <w:rsid w:val="00107EB2"/>
    <w:rsid w:val="00110222"/>
    <w:rsid w:val="00110A45"/>
    <w:rsid w:val="00114581"/>
    <w:rsid w:val="00114701"/>
    <w:rsid w:val="00114CE2"/>
    <w:rsid w:val="001223F0"/>
    <w:rsid w:val="001261F4"/>
    <w:rsid w:val="00126C70"/>
    <w:rsid w:val="00127160"/>
    <w:rsid w:val="00130B35"/>
    <w:rsid w:val="00133EF2"/>
    <w:rsid w:val="001375B4"/>
    <w:rsid w:val="00142174"/>
    <w:rsid w:val="00142645"/>
    <w:rsid w:val="001438FA"/>
    <w:rsid w:val="001442BB"/>
    <w:rsid w:val="00144A88"/>
    <w:rsid w:val="00146363"/>
    <w:rsid w:val="00150736"/>
    <w:rsid w:val="00152D19"/>
    <w:rsid w:val="00154058"/>
    <w:rsid w:val="0015433B"/>
    <w:rsid w:val="0015487F"/>
    <w:rsid w:val="00154C3C"/>
    <w:rsid w:val="00155440"/>
    <w:rsid w:val="001561CD"/>
    <w:rsid w:val="00156B1D"/>
    <w:rsid w:val="00160B32"/>
    <w:rsid w:val="00160E74"/>
    <w:rsid w:val="0016156A"/>
    <w:rsid w:val="00162276"/>
    <w:rsid w:val="0016489A"/>
    <w:rsid w:val="0016550A"/>
    <w:rsid w:val="001700A4"/>
    <w:rsid w:val="001703E1"/>
    <w:rsid w:val="0017106E"/>
    <w:rsid w:val="001721BC"/>
    <w:rsid w:val="00172DFB"/>
    <w:rsid w:val="00176529"/>
    <w:rsid w:val="001809B8"/>
    <w:rsid w:val="00184F0A"/>
    <w:rsid w:val="00186D52"/>
    <w:rsid w:val="00191C94"/>
    <w:rsid w:val="00192136"/>
    <w:rsid w:val="001A5DF9"/>
    <w:rsid w:val="001A65AA"/>
    <w:rsid w:val="001A6C29"/>
    <w:rsid w:val="001A7FE3"/>
    <w:rsid w:val="001B0B91"/>
    <w:rsid w:val="001B2DC4"/>
    <w:rsid w:val="001B6A98"/>
    <w:rsid w:val="001B6EA2"/>
    <w:rsid w:val="001C0275"/>
    <w:rsid w:val="001C055B"/>
    <w:rsid w:val="001C0873"/>
    <w:rsid w:val="001C1988"/>
    <w:rsid w:val="001C1A22"/>
    <w:rsid w:val="001C1A7C"/>
    <w:rsid w:val="001C5BF5"/>
    <w:rsid w:val="001C611A"/>
    <w:rsid w:val="001D118B"/>
    <w:rsid w:val="001D24C3"/>
    <w:rsid w:val="001D4210"/>
    <w:rsid w:val="001D724E"/>
    <w:rsid w:val="001D788A"/>
    <w:rsid w:val="001E2894"/>
    <w:rsid w:val="001E2C0C"/>
    <w:rsid w:val="001E30A7"/>
    <w:rsid w:val="001F17F2"/>
    <w:rsid w:val="001F2026"/>
    <w:rsid w:val="001F27FF"/>
    <w:rsid w:val="001F280F"/>
    <w:rsid w:val="001F30CF"/>
    <w:rsid w:val="001F4235"/>
    <w:rsid w:val="001F5E39"/>
    <w:rsid w:val="001F6CBA"/>
    <w:rsid w:val="00201B28"/>
    <w:rsid w:val="00204BFF"/>
    <w:rsid w:val="002061D9"/>
    <w:rsid w:val="0020650E"/>
    <w:rsid w:val="00213C6E"/>
    <w:rsid w:val="00213CF5"/>
    <w:rsid w:val="00216608"/>
    <w:rsid w:val="002206AA"/>
    <w:rsid w:val="00221447"/>
    <w:rsid w:val="00223D05"/>
    <w:rsid w:val="00225DB0"/>
    <w:rsid w:val="002334A4"/>
    <w:rsid w:val="0023415B"/>
    <w:rsid w:val="00234956"/>
    <w:rsid w:val="00243770"/>
    <w:rsid w:val="00251705"/>
    <w:rsid w:val="00254249"/>
    <w:rsid w:val="00254AC9"/>
    <w:rsid w:val="002558C3"/>
    <w:rsid w:val="0025663B"/>
    <w:rsid w:val="002622A9"/>
    <w:rsid w:val="002628E8"/>
    <w:rsid w:val="002659E4"/>
    <w:rsid w:val="00270EB9"/>
    <w:rsid w:val="00272E65"/>
    <w:rsid w:val="00275D53"/>
    <w:rsid w:val="00280574"/>
    <w:rsid w:val="002851B4"/>
    <w:rsid w:val="002925CF"/>
    <w:rsid w:val="002963A8"/>
    <w:rsid w:val="002A1796"/>
    <w:rsid w:val="002A1B10"/>
    <w:rsid w:val="002A3DAA"/>
    <w:rsid w:val="002A5EB9"/>
    <w:rsid w:val="002B080D"/>
    <w:rsid w:val="002B2CD8"/>
    <w:rsid w:val="002B320F"/>
    <w:rsid w:val="002B3295"/>
    <w:rsid w:val="002C2EEC"/>
    <w:rsid w:val="002C400A"/>
    <w:rsid w:val="002C6910"/>
    <w:rsid w:val="002D0031"/>
    <w:rsid w:val="002D25DD"/>
    <w:rsid w:val="002D5FE1"/>
    <w:rsid w:val="002D66AC"/>
    <w:rsid w:val="002D6EB4"/>
    <w:rsid w:val="002E105D"/>
    <w:rsid w:val="002E19B0"/>
    <w:rsid w:val="002E2321"/>
    <w:rsid w:val="002E2645"/>
    <w:rsid w:val="002E3BE6"/>
    <w:rsid w:val="002E6E3E"/>
    <w:rsid w:val="002E7A41"/>
    <w:rsid w:val="002F32A5"/>
    <w:rsid w:val="002F381F"/>
    <w:rsid w:val="002F3F1F"/>
    <w:rsid w:val="002F4293"/>
    <w:rsid w:val="002F4416"/>
    <w:rsid w:val="002F4E71"/>
    <w:rsid w:val="002F5711"/>
    <w:rsid w:val="00302E92"/>
    <w:rsid w:val="00303356"/>
    <w:rsid w:val="0031234E"/>
    <w:rsid w:val="00312F43"/>
    <w:rsid w:val="00315607"/>
    <w:rsid w:val="00322A24"/>
    <w:rsid w:val="0032351A"/>
    <w:rsid w:val="00333345"/>
    <w:rsid w:val="003339D5"/>
    <w:rsid w:val="00333C57"/>
    <w:rsid w:val="00335A2B"/>
    <w:rsid w:val="00336197"/>
    <w:rsid w:val="003367AE"/>
    <w:rsid w:val="00344D63"/>
    <w:rsid w:val="00345FD9"/>
    <w:rsid w:val="0034734F"/>
    <w:rsid w:val="003474AC"/>
    <w:rsid w:val="003500B7"/>
    <w:rsid w:val="0035059D"/>
    <w:rsid w:val="003526D0"/>
    <w:rsid w:val="003550FF"/>
    <w:rsid w:val="00360C88"/>
    <w:rsid w:val="00361F11"/>
    <w:rsid w:val="00362E37"/>
    <w:rsid w:val="00363847"/>
    <w:rsid w:val="00363946"/>
    <w:rsid w:val="0036401A"/>
    <w:rsid w:val="00371E80"/>
    <w:rsid w:val="0037692C"/>
    <w:rsid w:val="003770DA"/>
    <w:rsid w:val="003828AA"/>
    <w:rsid w:val="00382B26"/>
    <w:rsid w:val="003839A5"/>
    <w:rsid w:val="003840F1"/>
    <w:rsid w:val="00390374"/>
    <w:rsid w:val="00391E36"/>
    <w:rsid w:val="00393ECF"/>
    <w:rsid w:val="003A1C36"/>
    <w:rsid w:val="003A580A"/>
    <w:rsid w:val="003A59FC"/>
    <w:rsid w:val="003A6B91"/>
    <w:rsid w:val="003B1C37"/>
    <w:rsid w:val="003B1FC4"/>
    <w:rsid w:val="003B30AA"/>
    <w:rsid w:val="003B322C"/>
    <w:rsid w:val="003B3DD6"/>
    <w:rsid w:val="003C0E5D"/>
    <w:rsid w:val="003C224A"/>
    <w:rsid w:val="003C33D2"/>
    <w:rsid w:val="003C3831"/>
    <w:rsid w:val="003C38B8"/>
    <w:rsid w:val="003C50C4"/>
    <w:rsid w:val="003C7C4E"/>
    <w:rsid w:val="003D1190"/>
    <w:rsid w:val="003D227F"/>
    <w:rsid w:val="003D2A1E"/>
    <w:rsid w:val="003D3F6F"/>
    <w:rsid w:val="003D4F83"/>
    <w:rsid w:val="003D60DD"/>
    <w:rsid w:val="003E1507"/>
    <w:rsid w:val="003E16DF"/>
    <w:rsid w:val="003E2786"/>
    <w:rsid w:val="003E3EF3"/>
    <w:rsid w:val="003E4477"/>
    <w:rsid w:val="003E64DF"/>
    <w:rsid w:val="003E7B86"/>
    <w:rsid w:val="003F0135"/>
    <w:rsid w:val="003F5546"/>
    <w:rsid w:val="003F66B5"/>
    <w:rsid w:val="003F7352"/>
    <w:rsid w:val="003F74E4"/>
    <w:rsid w:val="003F7564"/>
    <w:rsid w:val="00400AA8"/>
    <w:rsid w:val="00400C3F"/>
    <w:rsid w:val="004026E8"/>
    <w:rsid w:val="004036FB"/>
    <w:rsid w:val="004042D8"/>
    <w:rsid w:val="004043CB"/>
    <w:rsid w:val="004053EB"/>
    <w:rsid w:val="00405BB6"/>
    <w:rsid w:val="004116A5"/>
    <w:rsid w:val="00412135"/>
    <w:rsid w:val="004144F7"/>
    <w:rsid w:val="004169CD"/>
    <w:rsid w:val="00422BC0"/>
    <w:rsid w:val="004231B9"/>
    <w:rsid w:val="00424DB0"/>
    <w:rsid w:val="00424EAB"/>
    <w:rsid w:val="00431235"/>
    <w:rsid w:val="00433B57"/>
    <w:rsid w:val="00433C01"/>
    <w:rsid w:val="0044019D"/>
    <w:rsid w:val="00444ED8"/>
    <w:rsid w:val="00445DA8"/>
    <w:rsid w:val="00452BA0"/>
    <w:rsid w:val="004564F5"/>
    <w:rsid w:val="00457E62"/>
    <w:rsid w:val="004616CF"/>
    <w:rsid w:val="004619D6"/>
    <w:rsid w:val="00463836"/>
    <w:rsid w:val="00463A8E"/>
    <w:rsid w:val="00464D1B"/>
    <w:rsid w:val="00465781"/>
    <w:rsid w:val="004660D6"/>
    <w:rsid w:val="00470A01"/>
    <w:rsid w:val="004712C0"/>
    <w:rsid w:val="00471A27"/>
    <w:rsid w:val="00472EC7"/>
    <w:rsid w:val="00472F3A"/>
    <w:rsid w:val="00475C8D"/>
    <w:rsid w:val="00475D46"/>
    <w:rsid w:val="0047627D"/>
    <w:rsid w:val="00481B85"/>
    <w:rsid w:val="004838C3"/>
    <w:rsid w:val="00485CB7"/>
    <w:rsid w:val="00485FD7"/>
    <w:rsid w:val="0048762E"/>
    <w:rsid w:val="00490D3B"/>
    <w:rsid w:val="00491DA2"/>
    <w:rsid w:val="004940F4"/>
    <w:rsid w:val="00494474"/>
    <w:rsid w:val="004948BA"/>
    <w:rsid w:val="0049760F"/>
    <w:rsid w:val="004A0ED0"/>
    <w:rsid w:val="004A2D63"/>
    <w:rsid w:val="004A4A67"/>
    <w:rsid w:val="004A52E3"/>
    <w:rsid w:val="004A5B4F"/>
    <w:rsid w:val="004A6232"/>
    <w:rsid w:val="004B16EF"/>
    <w:rsid w:val="004B1A8D"/>
    <w:rsid w:val="004B3770"/>
    <w:rsid w:val="004B63FF"/>
    <w:rsid w:val="004B77ED"/>
    <w:rsid w:val="004C0329"/>
    <w:rsid w:val="004C0689"/>
    <w:rsid w:val="004C0D32"/>
    <w:rsid w:val="004C0D45"/>
    <w:rsid w:val="004D23A1"/>
    <w:rsid w:val="004D6691"/>
    <w:rsid w:val="004E19A8"/>
    <w:rsid w:val="004E1F3C"/>
    <w:rsid w:val="004E24BD"/>
    <w:rsid w:val="004F6576"/>
    <w:rsid w:val="004F6CCF"/>
    <w:rsid w:val="005019FC"/>
    <w:rsid w:val="00501CD6"/>
    <w:rsid w:val="005027F0"/>
    <w:rsid w:val="00505829"/>
    <w:rsid w:val="00510FC2"/>
    <w:rsid w:val="00511070"/>
    <w:rsid w:val="005155D1"/>
    <w:rsid w:val="00516046"/>
    <w:rsid w:val="00516DBE"/>
    <w:rsid w:val="00516DE7"/>
    <w:rsid w:val="00520952"/>
    <w:rsid w:val="00520EB9"/>
    <w:rsid w:val="0052260A"/>
    <w:rsid w:val="005235FE"/>
    <w:rsid w:val="00524B86"/>
    <w:rsid w:val="00524E37"/>
    <w:rsid w:val="005253C2"/>
    <w:rsid w:val="005316F8"/>
    <w:rsid w:val="00536867"/>
    <w:rsid w:val="005443DB"/>
    <w:rsid w:val="00547DF1"/>
    <w:rsid w:val="005504B3"/>
    <w:rsid w:val="005504DC"/>
    <w:rsid w:val="005505E8"/>
    <w:rsid w:val="005513E1"/>
    <w:rsid w:val="00551CD6"/>
    <w:rsid w:val="00551DE6"/>
    <w:rsid w:val="00553469"/>
    <w:rsid w:val="0055347B"/>
    <w:rsid w:val="005534EF"/>
    <w:rsid w:val="00553F4A"/>
    <w:rsid w:val="0055479E"/>
    <w:rsid w:val="00556E09"/>
    <w:rsid w:val="005660D1"/>
    <w:rsid w:val="0057071D"/>
    <w:rsid w:val="00570735"/>
    <w:rsid w:val="00570F2F"/>
    <w:rsid w:val="0057247E"/>
    <w:rsid w:val="00573907"/>
    <w:rsid w:val="005806AC"/>
    <w:rsid w:val="005835B2"/>
    <w:rsid w:val="00584217"/>
    <w:rsid w:val="00586260"/>
    <w:rsid w:val="00590374"/>
    <w:rsid w:val="00590883"/>
    <w:rsid w:val="00590A63"/>
    <w:rsid w:val="005934B9"/>
    <w:rsid w:val="00596C6E"/>
    <w:rsid w:val="005A08CD"/>
    <w:rsid w:val="005A1247"/>
    <w:rsid w:val="005A2AF7"/>
    <w:rsid w:val="005A2CA4"/>
    <w:rsid w:val="005A3666"/>
    <w:rsid w:val="005A47C7"/>
    <w:rsid w:val="005B1B44"/>
    <w:rsid w:val="005B2CA9"/>
    <w:rsid w:val="005B376D"/>
    <w:rsid w:val="005B5836"/>
    <w:rsid w:val="005B6E0D"/>
    <w:rsid w:val="005B754E"/>
    <w:rsid w:val="005C0FD1"/>
    <w:rsid w:val="005C4A46"/>
    <w:rsid w:val="005C500F"/>
    <w:rsid w:val="005C6BCC"/>
    <w:rsid w:val="005C7298"/>
    <w:rsid w:val="005D0FB4"/>
    <w:rsid w:val="005D14F3"/>
    <w:rsid w:val="005E00EF"/>
    <w:rsid w:val="005E0ADB"/>
    <w:rsid w:val="005E2E64"/>
    <w:rsid w:val="005E3947"/>
    <w:rsid w:val="005E60F9"/>
    <w:rsid w:val="005F311B"/>
    <w:rsid w:val="005F48B3"/>
    <w:rsid w:val="005F4CAD"/>
    <w:rsid w:val="005F53AC"/>
    <w:rsid w:val="005F5D06"/>
    <w:rsid w:val="005F5D8F"/>
    <w:rsid w:val="005F6C01"/>
    <w:rsid w:val="005F7CB3"/>
    <w:rsid w:val="00601019"/>
    <w:rsid w:val="00601B01"/>
    <w:rsid w:val="00603ADE"/>
    <w:rsid w:val="00610337"/>
    <w:rsid w:val="00611D54"/>
    <w:rsid w:val="00611F52"/>
    <w:rsid w:val="00620F5D"/>
    <w:rsid w:val="00620FBE"/>
    <w:rsid w:val="00621291"/>
    <w:rsid w:val="0062174B"/>
    <w:rsid w:val="00623468"/>
    <w:rsid w:val="006308A2"/>
    <w:rsid w:val="00636249"/>
    <w:rsid w:val="00636E34"/>
    <w:rsid w:val="0064063E"/>
    <w:rsid w:val="006409A1"/>
    <w:rsid w:val="00640BDA"/>
    <w:rsid w:val="006412F3"/>
    <w:rsid w:val="00641427"/>
    <w:rsid w:val="006465D8"/>
    <w:rsid w:val="00647546"/>
    <w:rsid w:val="00651C09"/>
    <w:rsid w:val="00652204"/>
    <w:rsid w:val="006557CA"/>
    <w:rsid w:val="00660A0F"/>
    <w:rsid w:val="0066175A"/>
    <w:rsid w:val="00662671"/>
    <w:rsid w:val="00666AB7"/>
    <w:rsid w:val="00667B9E"/>
    <w:rsid w:val="006753C5"/>
    <w:rsid w:val="00680177"/>
    <w:rsid w:val="006809D7"/>
    <w:rsid w:val="0068251A"/>
    <w:rsid w:val="00683FCA"/>
    <w:rsid w:val="0068685E"/>
    <w:rsid w:val="00687235"/>
    <w:rsid w:val="00690123"/>
    <w:rsid w:val="00690253"/>
    <w:rsid w:val="006902EC"/>
    <w:rsid w:val="00693237"/>
    <w:rsid w:val="00694E15"/>
    <w:rsid w:val="0069581B"/>
    <w:rsid w:val="00696BF6"/>
    <w:rsid w:val="00697F35"/>
    <w:rsid w:val="006B2D0E"/>
    <w:rsid w:val="006C1154"/>
    <w:rsid w:val="006C168E"/>
    <w:rsid w:val="006C2292"/>
    <w:rsid w:val="006C2372"/>
    <w:rsid w:val="006C5013"/>
    <w:rsid w:val="006C7AEA"/>
    <w:rsid w:val="006D1767"/>
    <w:rsid w:val="006D2901"/>
    <w:rsid w:val="006D5B7C"/>
    <w:rsid w:val="006D6CAF"/>
    <w:rsid w:val="006E2D30"/>
    <w:rsid w:val="006E44AA"/>
    <w:rsid w:val="006E68BF"/>
    <w:rsid w:val="006F0608"/>
    <w:rsid w:val="006F0D66"/>
    <w:rsid w:val="006F29EB"/>
    <w:rsid w:val="006F5EA2"/>
    <w:rsid w:val="006F6DB7"/>
    <w:rsid w:val="00700DCB"/>
    <w:rsid w:val="00703E22"/>
    <w:rsid w:val="0070429F"/>
    <w:rsid w:val="00705BA4"/>
    <w:rsid w:val="007060C3"/>
    <w:rsid w:val="00706166"/>
    <w:rsid w:val="00706ACD"/>
    <w:rsid w:val="00707516"/>
    <w:rsid w:val="00711237"/>
    <w:rsid w:val="007121F8"/>
    <w:rsid w:val="00715F2C"/>
    <w:rsid w:val="007164C4"/>
    <w:rsid w:val="00723E51"/>
    <w:rsid w:val="00730863"/>
    <w:rsid w:val="0073213F"/>
    <w:rsid w:val="00735251"/>
    <w:rsid w:val="00735D95"/>
    <w:rsid w:val="00740777"/>
    <w:rsid w:val="0074661E"/>
    <w:rsid w:val="00750523"/>
    <w:rsid w:val="007508DE"/>
    <w:rsid w:val="00751249"/>
    <w:rsid w:val="00751AD4"/>
    <w:rsid w:val="00752C28"/>
    <w:rsid w:val="00754225"/>
    <w:rsid w:val="00754A01"/>
    <w:rsid w:val="00757BD4"/>
    <w:rsid w:val="00763271"/>
    <w:rsid w:val="0076494A"/>
    <w:rsid w:val="007650F1"/>
    <w:rsid w:val="00770AFC"/>
    <w:rsid w:val="0078457F"/>
    <w:rsid w:val="00784942"/>
    <w:rsid w:val="00784D95"/>
    <w:rsid w:val="00784FD6"/>
    <w:rsid w:val="0078527F"/>
    <w:rsid w:val="00786869"/>
    <w:rsid w:val="00791721"/>
    <w:rsid w:val="00791865"/>
    <w:rsid w:val="007920B7"/>
    <w:rsid w:val="00793AF9"/>
    <w:rsid w:val="007959E3"/>
    <w:rsid w:val="00795ECF"/>
    <w:rsid w:val="007A02D4"/>
    <w:rsid w:val="007A1A12"/>
    <w:rsid w:val="007A3424"/>
    <w:rsid w:val="007A78A5"/>
    <w:rsid w:val="007A7BDA"/>
    <w:rsid w:val="007A7C4D"/>
    <w:rsid w:val="007A7D95"/>
    <w:rsid w:val="007B0625"/>
    <w:rsid w:val="007B0D62"/>
    <w:rsid w:val="007B164C"/>
    <w:rsid w:val="007B1E25"/>
    <w:rsid w:val="007B4AEA"/>
    <w:rsid w:val="007B4CAD"/>
    <w:rsid w:val="007B6238"/>
    <w:rsid w:val="007B748F"/>
    <w:rsid w:val="007B7608"/>
    <w:rsid w:val="007B7827"/>
    <w:rsid w:val="007C1D79"/>
    <w:rsid w:val="007C38A3"/>
    <w:rsid w:val="007C3DA6"/>
    <w:rsid w:val="007C4C53"/>
    <w:rsid w:val="007D0FD4"/>
    <w:rsid w:val="007D122C"/>
    <w:rsid w:val="007D6996"/>
    <w:rsid w:val="007D71BD"/>
    <w:rsid w:val="007E158C"/>
    <w:rsid w:val="007E1985"/>
    <w:rsid w:val="007E1D1B"/>
    <w:rsid w:val="007E34AC"/>
    <w:rsid w:val="007E3CB7"/>
    <w:rsid w:val="007E4435"/>
    <w:rsid w:val="007E6887"/>
    <w:rsid w:val="007E71A6"/>
    <w:rsid w:val="007F19AE"/>
    <w:rsid w:val="007F22C6"/>
    <w:rsid w:val="007F512A"/>
    <w:rsid w:val="007F78F0"/>
    <w:rsid w:val="008010DA"/>
    <w:rsid w:val="00801BB8"/>
    <w:rsid w:val="00810B35"/>
    <w:rsid w:val="00811568"/>
    <w:rsid w:val="0081221F"/>
    <w:rsid w:val="008128F5"/>
    <w:rsid w:val="0081713D"/>
    <w:rsid w:val="00817962"/>
    <w:rsid w:val="00817B8E"/>
    <w:rsid w:val="008339E7"/>
    <w:rsid w:val="00835903"/>
    <w:rsid w:val="00836E9D"/>
    <w:rsid w:val="0084364C"/>
    <w:rsid w:val="00844371"/>
    <w:rsid w:val="00847827"/>
    <w:rsid w:val="00852FB7"/>
    <w:rsid w:val="00855531"/>
    <w:rsid w:val="00856059"/>
    <w:rsid w:val="00857DC9"/>
    <w:rsid w:val="00860AF1"/>
    <w:rsid w:val="0086786A"/>
    <w:rsid w:val="00867B36"/>
    <w:rsid w:val="008827CC"/>
    <w:rsid w:val="00885384"/>
    <w:rsid w:val="008857CA"/>
    <w:rsid w:val="00885C2B"/>
    <w:rsid w:val="00887618"/>
    <w:rsid w:val="008932E1"/>
    <w:rsid w:val="00893779"/>
    <w:rsid w:val="00893A10"/>
    <w:rsid w:val="008A29B9"/>
    <w:rsid w:val="008A7F22"/>
    <w:rsid w:val="008B0F05"/>
    <w:rsid w:val="008B3324"/>
    <w:rsid w:val="008B674C"/>
    <w:rsid w:val="008B7474"/>
    <w:rsid w:val="008C2455"/>
    <w:rsid w:val="008C3DED"/>
    <w:rsid w:val="008C4B87"/>
    <w:rsid w:val="008C6B85"/>
    <w:rsid w:val="008D2658"/>
    <w:rsid w:val="008D2B9C"/>
    <w:rsid w:val="008D3705"/>
    <w:rsid w:val="008D37E6"/>
    <w:rsid w:val="008D705D"/>
    <w:rsid w:val="008D7DA8"/>
    <w:rsid w:val="008E44A5"/>
    <w:rsid w:val="008E6206"/>
    <w:rsid w:val="008E69C2"/>
    <w:rsid w:val="008E6A9F"/>
    <w:rsid w:val="008E72C7"/>
    <w:rsid w:val="008F0B3D"/>
    <w:rsid w:val="008F2F80"/>
    <w:rsid w:val="008F3BF8"/>
    <w:rsid w:val="00900F88"/>
    <w:rsid w:val="00902784"/>
    <w:rsid w:val="00903063"/>
    <w:rsid w:val="00903405"/>
    <w:rsid w:val="00903E89"/>
    <w:rsid w:val="009060A3"/>
    <w:rsid w:val="00912ACD"/>
    <w:rsid w:val="00912BA7"/>
    <w:rsid w:val="0091388F"/>
    <w:rsid w:val="009138F3"/>
    <w:rsid w:val="009158C6"/>
    <w:rsid w:val="00920610"/>
    <w:rsid w:val="0092381F"/>
    <w:rsid w:val="00923BC8"/>
    <w:rsid w:val="009268A2"/>
    <w:rsid w:val="00931E17"/>
    <w:rsid w:val="00935011"/>
    <w:rsid w:val="00937FD4"/>
    <w:rsid w:val="00941DE4"/>
    <w:rsid w:val="00944AEC"/>
    <w:rsid w:val="00945EC9"/>
    <w:rsid w:val="0094637C"/>
    <w:rsid w:val="00951452"/>
    <w:rsid w:val="00952A4A"/>
    <w:rsid w:val="00956AB2"/>
    <w:rsid w:val="00960478"/>
    <w:rsid w:val="00962A84"/>
    <w:rsid w:val="009666A7"/>
    <w:rsid w:val="00973223"/>
    <w:rsid w:val="009745AE"/>
    <w:rsid w:val="0097528F"/>
    <w:rsid w:val="00982655"/>
    <w:rsid w:val="00982775"/>
    <w:rsid w:val="00984FEA"/>
    <w:rsid w:val="009870F0"/>
    <w:rsid w:val="00993306"/>
    <w:rsid w:val="00994022"/>
    <w:rsid w:val="00995EA3"/>
    <w:rsid w:val="00996757"/>
    <w:rsid w:val="009968FD"/>
    <w:rsid w:val="009A3FBD"/>
    <w:rsid w:val="009A66C9"/>
    <w:rsid w:val="009B1423"/>
    <w:rsid w:val="009B331F"/>
    <w:rsid w:val="009B5CDF"/>
    <w:rsid w:val="009B7A63"/>
    <w:rsid w:val="009C0189"/>
    <w:rsid w:val="009C0787"/>
    <w:rsid w:val="009C207E"/>
    <w:rsid w:val="009C3161"/>
    <w:rsid w:val="009C3D06"/>
    <w:rsid w:val="009C43C3"/>
    <w:rsid w:val="009C5F51"/>
    <w:rsid w:val="009C7F60"/>
    <w:rsid w:val="009D1038"/>
    <w:rsid w:val="009D17F4"/>
    <w:rsid w:val="009D2EFF"/>
    <w:rsid w:val="009D321A"/>
    <w:rsid w:val="009D338F"/>
    <w:rsid w:val="009D5927"/>
    <w:rsid w:val="009D5D49"/>
    <w:rsid w:val="009E07A7"/>
    <w:rsid w:val="009E16FC"/>
    <w:rsid w:val="009E28C8"/>
    <w:rsid w:val="009E30A3"/>
    <w:rsid w:val="009E3114"/>
    <w:rsid w:val="009E35DA"/>
    <w:rsid w:val="009E48D9"/>
    <w:rsid w:val="009E7964"/>
    <w:rsid w:val="009F1156"/>
    <w:rsid w:val="009F3BB1"/>
    <w:rsid w:val="009F7FBA"/>
    <w:rsid w:val="00A00200"/>
    <w:rsid w:val="00A0157C"/>
    <w:rsid w:val="00A024E8"/>
    <w:rsid w:val="00A03049"/>
    <w:rsid w:val="00A057A9"/>
    <w:rsid w:val="00A05FE3"/>
    <w:rsid w:val="00A06286"/>
    <w:rsid w:val="00A066BB"/>
    <w:rsid w:val="00A07B02"/>
    <w:rsid w:val="00A177E0"/>
    <w:rsid w:val="00A24908"/>
    <w:rsid w:val="00A25F96"/>
    <w:rsid w:val="00A32657"/>
    <w:rsid w:val="00A32D66"/>
    <w:rsid w:val="00A34720"/>
    <w:rsid w:val="00A40A20"/>
    <w:rsid w:val="00A41064"/>
    <w:rsid w:val="00A41DAB"/>
    <w:rsid w:val="00A41F4C"/>
    <w:rsid w:val="00A42D10"/>
    <w:rsid w:val="00A44E2F"/>
    <w:rsid w:val="00A478E9"/>
    <w:rsid w:val="00A47F6C"/>
    <w:rsid w:val="00A51036"/>
    <w:rsid w:val="00A638DB"/>
    <w:rsid w:val="00A644B2"/>
    <w:rsid w:val="00A64BE2"/>
    <w:rsid w:val="00A660D6"/>
    <w:rsid w:val="00A66F3E"/>
    <w:rsid w:val="00A67749"/>
    <w:rsid w:val="00A7162F"/>
    <w:rsid w:val="00A7319E"/>
    <w:rsid w:val="00A763DB"/>
    <w:rsid w:val="00A765C3"/>
    <w:rsid w:val="00A76C78"/>
    <w:rsid w:val="00A77193"/>
    <w:rsid w:val="00A809C2"/>
    <w:rsid w:val="00A825FE"/>
    <w:rsid w:val="00A86DAC"/>
    <w:rsid w:val="00A8768E"/>
    <w:rsid w:val="00A9033E"/>
    <w:rsid w:val="00A91FDE"/>
    <w:rsid w:val="00A93932"/>
    <w:rsid w:val="00A94EC1"/>
    <w:rsid w:val="00A971A7"/>
    <w:rsid w:val="00AA73B9"/>
    <w:rsid w:val="00AA76B2"/>
    <w:rsid w:val="00AB083E"/>
    <w:rsid w:val="00AB0BCE"/>
    <w:rsid w:val="00AB1645"/>
    <w:rsid w:val="00AB36F2"/>
    <w:rsid w:val="00AB4058"/>
    <w:rsid w:val="00AB4E5C"/>
    <w:rsid w:val="00AB5DEE"/>
    <w:rsid w:val="00AC26D6"/>
    <w:rsid w:val="00AC7D7B"/>
    <w:rsid w:val="00AD6D6A"/>
    <w:rsid w:val="00AE0F4E"/>
    <w:rsid w:val="00AE271B"/>
    <w:rsid w:val="00AE2EA5"/>
    <w:rsid w:val="00AE6078"/>
    <w:rsid w:val="00AE6091"/>
    <w:rsid w:val="00AF12D7"/>
    <w:rsid w:val="00AF4195"/>
    <w:rsid w:val="00B04854"/>
    <w:rsid w:val="00B04A12"/>
    <w:rsid w:val="00B06784"/>
    <w:rsid w:val="00B13F24"/>
    <w:rsid w:val="00B1412B"/>
    <w:rsid w:val="00B1595C"/>
    <w:rsid w:val="00B15CEF"/>
    <w:rsid w:val="00B21B74"/>
    <w:rsid w:val="00B226C9"/>
    <w:rsid w:val="00B2309C"/>
    <w:rsid w:val="00B27EFE"/>
    <w:rsid w:val="00B32576"/>
    <w:rsid w:val="00B32A67"/>
    <w:rsid w:val="00B33F1D"/>
    <w:rsid w:val="00B35D8C"/>
    <w:rsid w:val="00B363D2"/>
    <w:rsid w:val="00B377BF"/>
    <w:rsid w:val="00B37E7F"/>
    <w:rsid w:val="00B45EC6"/>
    <w:rsid w:val="00B46586"/>
    <w:rsid w:val="00B465D1"/>
    <w:rsid w:val="00B50360"/>
    <w:rsid w:val="00B50401"/>
    <w:rsid w:val="00B524F4"/>
    <w:rsid w:val="00B5266B"/>
    <w:rsid w:val="00B53DD5"/>
    <w:rsid w:val="00B54C6C"/>
    <w:rsid w:val="00B61D4F"/>
    <w:rsid w:val="00B621D5"/>
    <w:rsid w:val="00B64EE5"/>
    <w:rsid w:val="00B703FF"/>
    <w:rsid w:val="00B70491"/>
    <w:rsid w:val="00B70804"/>
    <w:rsid w:val="00B71CEC"/>
    <w:rsid w:val="00B72A46"/>
    <w:rsid w:val="00B73435"/>
    <w:rsid w:val="00B74151"/>
    <w:rsid w:val="00B74D8A"/>
    <w:rsid w:val="00B76E5D"/>
    <w:rsid w:val="00B77CAF"/>
    <w:rsid w:val="00B801FC"/>
    <w:rsid w:val="00B81407"/>
    <w:rsid w:val="00B828E2"/>
    <w:rsid w:val="00B83BA2"/>
    <w:rsid w:val="00B84A7B"/>
    <w:rsid w:val="00B86F91"/>
    <w:rsid w:val="00B90A31"/>
    <w:rsid w:val="00B90C10"/>
    <w:rsid w:val="00B951E2"/>
    <w:rsid w:val="00BA2BA6"/>
    <w:rsid w:val="00BA35E3"/>
    <w:rsid w:val="00BA3AB9"/>
    <w:rsid w:val="00BA3EF2"/>
    <w:rsid w:val="00BA532F"/>
    <w:rsid w:val="00BB209E"/>
    <w:rsid w:val="00BB3A15"/>
    <w:rsid w:val="00BB65D0"/>
    <w:rsid w:val="00BB7D09"/>
    <w:rsid w:val="00BC02AE"/>
    <w:rsid w:val="00BC4368"/>
    <w:rsid w:val="00BC6B0F"/>
    <w:rsid w:val="00BD0863"/>
    <w:rsid w:val="00BD2034"/>
    <w:rsid w:val="00BD4505"/>
    <w:rsid w:val="00BD506D"/>
    <w:rsid w:val="00BD74A7"/>
    <w:rsid w:val="00BE31A3"/>
    <w:rsid w:val="00BE5EFD"/>
    <w:rsid w:val="00BE6813"/>
    <w:rsid w:val="00BE774B"/>
    <w:rsid w:val="00BF26F5"/>
    <w:rsid w:val="00BF362B"/>
    <w:rsid w:val="00BF643C"/>
    <w:rsid w:val="00BF70E4"/>
    <w:rsid w:val="00C024F0"/>
    <w:rsid w:val="00C0540E"/>
    <w:rsid w:val="00C06C35"/>
    <w:rsid w:val="00C1214E"/>
    <w:rsid w:val="00C13062"/>
    <w:rsid w:val="00C15A67"/>
    <w:rsid w:val="00C17480"/>
    <w:rsid w:val="00C20641"/>
    <w:rsid w:val="00C20BE7"/>
    <w:rsid w:val="00C2154F"/>
    <w:rsid w:val="00C24773"/>
    <w:rsid w:val="00C266B0"/>
    <w:rsid w:val="00C267FE"/>
    <w:rsid w:val="00C3029A"/>
    <w:rsid w:val="00C318F0"/>
    <w:rsid w:val="00C32693"/>
    <w:rsid w:val="00C34F9C"/>
    <w:rsid w:val="00C34FBE"/>
    <w:rsid w:val="00C37BEC"/>
    <w:rsid w:val="00C42807"/>
    <w:rsid w:val="00C441B6"/>
    <w:rsid w:val="00C458FD"/>
    <w:rsid w:val="00C5397A"/>
    <w:rsid w:val="00C6168F"/>
    <w:rsid w:val="00C62221"/>
    <w:rsid w:val="00C635AD"/>
    <w:rsid w:val="00C643AC"/>
    <w:rsid w:val="00C64709"/>
    <w:rsid w:val="00C658CF"/>
    <w:rsid w:val="00C729A4"/>
    <w:rsid w:val="00C7799E"/>
    <w:rsid w:val="00C77A29"/>
    <w:rsid w:val="00C811F2"/>
    <w:rsid w:val="00C81552"/>
    <w:rsid w:val="00C82F41"/>
    <w:rsid w:val="00C9068A"/>
    <w:rsid w:val="00C91336"/>
    <w:rsid w:val="00C92500"/>
    <w:rsid w:val="00C936AB"/>
    <w:rsid w:val="00C937E3"/>
    <w:rsid w:val="00C94DF9"/>
    <w:rsid w:val="00C9581B"/>
    <w:rsid w:val="00CB0D3D"/>
    <w:rsid w:val="00CB18BC"/>
    <w:rsid w:val="00CB6D68"/>
    <w:rsid w:val="00CC0F79"/>
    <w:rsid w:val="00CC1BF6"/>
    <w:rsid w:val="00CC5CEB"/>
    <w:rsid w:val="00CC6522"/>
    <w:rsid w:val="00CC6791"/>
    <w:rsid w:val="00CD2A4D"/>
    <w:rsid w:val="00CD69BC"/>
    <w:rsid w:val="00CD71C6"/>
    <w:rsid w:val="00CD7285"/>
    <w:rsid w:val="00CE043B"/>
    <w:rsid w:val="00CE1F52"/>
    <w:rsid w:val="00CE2A03"/>
    <w:rsid w:val="00CE3938"/>
    <w:rsid w:val="00CE4A4B"/>
    <w:rsid w:val="00CE7290"/>
    <w:rsid w:val="00CE73ED"/>
    <w:rsid w:val="00CF24DB"/>
    <w:rsid w:val="00CF31B3"/>
    <w:rsid w:val="00CF6ACF"/>
    <w:rsid w:val="00CF7F3A"/>
    <w:rsid w:val="00D03529"/>
    <w:rsid w:val="00D039FA"/>
    <w:rsid w:val="00D05031"/>
    <w:rsid w:val="00D07E16"/>
    <w:rsid w:val="00D10041"/>
    <w:rsid w:val="00D1040B"/>
    <w:rsid w:val="00D10B07"/>
    <w:rsid w:val="00D12AF6"/>
    <w:rsid w:val="00D140FD"/>
    <w:rsid w:val="00D15F46"/>
    <w:rsid w:val="00D2165B"/>
    <w:rsid w:val="00D334C2"/>
    <w:rsid w:val="00D3354C"/>
    <w:rsid w:val="00D34C12"/>
    <w:rsid w:val="00D37460"/>
    <w:rsid w:val="00D40696"/>
    <w:rsid w:val="00D40E4A"/>
    <w:rsid w:val="00D420AB"/>
    <w:rsid w:val="00D432E3"/>
    <w:rsid w:val="00D43650"/>
    <w:rsid w:val="00D457CF"/>
    <w:rsid w:val="00D5131F"/>
    <w:rsid w:val="00D52E3E"/>
    <w:rsid w:val="00D54FA4"/>
    <w:rsid w:val="00D552A2"/>
    <w:rsid w:val="00D5556A"/>
    <w:rsid w:val="00D64519"/>
    <w:rsid w:val="00D64605"/>
    <w:rsid w:val="00D67790"/>
    <w:rsid w:val="00D72719"/>
    <w:rsid w:val="00D7355D"/>
    <w:rsid w:val="00D74060"/>
    <w:rsid w:val="00D80352"/>
    <w:rsid w:val="00D807D7"/>
    <w:rsid w:val="00D8310B"/>
    <w:rsid w:val="00D8575B"/>
    <w:rsid w:val="00D86615"/>
    <w:rsid w:val="00D90514"/>
    <w:rsid w:val="00D90B68"/>
    <w:rsid w:val="00D91935"/>
    <w:rsid w:val="00D91C16"/>
    <w:rsid w:val="00D92476"/>
    <w:rsid w:val="00D95041"/>
    <w:rsid w:val="00D95332"/>
    <w:rsid w:val="00DA02F3"/>
    <w:rsid w:val="00DA05C1"/>
    <w:rsid w:val="00DA5011"/>
    <w:rsid w:val="00DA5120"/>
    <w:rsid w:val="00DB0211"/>
    <w:rsid w:val="00DB1755"/>
    <w:rsid w:val="00DB17C2"/>
    <w:rsid w:val="00DB543A"/>
    <w:rsid w:val="00DC0FDC"/>
    <w:rsid w:val="00DC1A1E"/>
    <w:rsid w:val="00DC56D9"/>
    <w:rsid w:val="00DC7456"/>
    <w:rsid w:val="00DD3012"/>
    <w:rsid w:val="00DD4073"/>
    <w:rsid w:val="00DD5C0D"/>
    <w:rsid w:val="00DD79C0"/>
    <w:rsid w:val="00DE1077"/>
    <w:rsid w:val="00DE1956"/>
    <w:rsid w:val="00DE2212"/>
    <w:rsid w:val="00DE3C8B"/>
    <w:rsid w:val="00DE44C0"/>
    <w:rsid w:val="00DE7E38"/>
    <w:rsid w:val="00DF199F"/>
    <w:rsid w:val="00DF1BF5"/>
    <w:rsid w:val="00DF22C1"/>
    <w:rsid w:val="00DF5245"/>
    <w:rsid w:val="00DF6EE2"/>
    <w:rsid w:val="00E00058"/>
    <w:rsid w:val="00E00374"/>
    <w:rsid w:val="00E00D3E"/>
    <w:rsid w:val="00E0127F"/>
    <w:rsid w:val="00E034E5"/>
    <w:rsid w:val="00E04133"/>
    <w:rsid w:val="00E05AB1"/>
    <w:rsid w:val="00E05CD6"/>
    <w:rsid w:val="00E05E4C"/>
    <w:rsid w:val="00E06995"/>
    <w:rsid w:val="00E07B51"/>
    <w:rsid w:val="00E107B2"/>
    <w:rsid w:val="00E10BB6"/>
    <w:rsid w:val="00E117F6"/>
    <w:rsid w:val="00E11C27"/>
    <w:rsid w:val="00E171FB"/>
    <w:rsid w:val="00E1769E"/>
    <w:rsid w:val="00E26AA6"/>
    <w:rsid w:val="00E307BD"/>
    <w:rsid w:val="00E30EF5"/>
    <w:rsid w:val="00E3525A"/>
    <w:rsid w:val="00E358EB"/>
    <w:rsid w:val="00E36391"/>
    <w:rsid w:val="00E40D55"/>
    <w:rsid w:val="00E41050"/>
    <w:rsid w:val="00E514AF"/>
    <w:rsid w:val="00E53608"/>
    <w:rsid w:val="00E5576A"/>
    <w:rsid w:val="00E56B27"/>
    <w:rsid w:val="00E56E04"/>
    <w:rsid w:val="00E601CC"/>
    <w:rsid w:val="00E61DE4"/>
    <w:rsid w:val="00E61F8F"/>
    <w:rsid w:val="00E630E7"/>
    <w:rsid w:val="00E63463"/>
    <w:rsid w:val="00E63E6B"/>
    <w:rsid w:val="00E6484B"/>
    <w:rsid w:val="00E65058"/>
    <w:rsid w:val="00E66E3F"/>
    <w:rsid w:val="00E66F60"/>
    <w:rsid w:val="00E67011"/>
    <w:rsid w:val="00E723B5"/>
    <w:rsid w:val="00E72B33"/>
    <w:rsid w:val="00E76ECE"/>
    <w:rsid w:val="00E806AB"/>
    <w:rsid w:val="00E81823"/>
    <w:rsid w:val="00E818EE"/>
    <w:rsid w:val="00E8639E"/>
    <w:rsid w:val="00E86D6C"/>
    <w:rsid w:val="00E873E7"/>
    <w:rsid w:val="00E879E1"/>
    <w:rsid w:val="00E936A4"/>
    <w:rsid w:val="00E93B4C"/>
    <w:rsid w:val="00E94162"/>
    <w:rsid w:val="00E94F41"/>
    <w:rsid w:val="00E9799C"/>
    <w:rsid w:val="00EA0907"/>
    <w:rsid w:val="00EA1879"/>
    <w:rsid w:val="00EA43CD"/>
    <w:rsid w:val="00EA4A8F"/>
    <w:rsid w:val="00EB057B"/>
    <w:rsid w:val="00EB1318"/>
    <w:rsid w:val="00EB189D"/>
    <w:rsid w:val="00EB1D85"/>
    <w:rsid w:val="00EB5202"/>
    <w:rsid w:val="00EB5D4E"/>
    <w:rsid w:val="00EB6FE9"/>
    <w:rsid w:val="00EC0837"/>
    <w:rsid w:val="00EC5F0D"/>
    <w:rsid w:val="00ED75D9"/>
    <w:rsid w:val="00EE2B2F"/>
    <w:rsid w:val="00EE3B49"/>
    <w:rsid w:val="00EF4177"/>
    <w:rsid w:val="00EF5A8D"/>
    <w:rsid w:val="00EF6ACF"/>
    <w:rsid w:val="00F00AA1"/>
    <w:rsid w:val="00F013CE"/>
    <w:rsid w:val="00F01B8B"/>
    <w:rsid w:val="00F05175"/>
    <w:rsid w:val="00F0541C"/>
    <w:rsid w:val="00F064BC"/>
    <w:rsid w:val="00F1042B"/>
    <w:rsid w:val="00F11B92"/>
    <w:rsid w:val="00F128EA"/>
    <w:rsid w:val="00F170F4"/>
    <w:rsid w:val="00F27523"/>
    <w:rsid w:val="00F30483"/>
    <w:rsid w:val="00F30775"/>
    <w:rsid w:val="00F32FDD"/>
    <w:rsid w:val="00F35EE2"/>
    <w:rsid w:val="00F41F2C"/>
    <w:rsid w:val="00F42A9F"/>
    <w:rsid w:val="00F4599A"/>
    <w:rsid w:val="00F45D0E"/>
    <w:rsid w:val="00F50B0F"/>
    <w:rsid w:val="00F534A3"/>
    <w:rsid w:val="00F543F9"/>
    <w:rsid w:val="00F67BD1"/>
    <w:rsid w:val="00F71957"/>
    <w:rsid w:val="00F72557"/>
    <w:rsid w:val="00F73252"/>
    <w:rsid w:val="00F8502A"/>
    <w:rsid w:val="00F85CFF"/>
    <w:rsid w:val="00F86F8A"/>
    <w:rsid w:val="00F91971"/>
    <w:rsid w:val="00F9387C"/>
    <w:rsid w:val="00FB134D"/>
    <w:rsid w:val="00FB1D92"/>
    <w:rsid w:val="00FB2801"/>
    <w:rsid w:val="00FB3D1F"/>
    <w:rsid w:val="00FB52C8"/>
    <w:rsid w:val="00FB577C"/>
    <w:rsid w:val="00FB650C"/>
    <w:rsid w:val="00FB728D"/>
    <w:rsid w:val="00FC0A72"/>
    <w:rsid w:val="00FC3122"/>
    <w:rsid w:val="00FC3F83"/>
    <w:rsid w:val="00FC5A8B"/>
    <w:rsid w:val="00FC62B2"/>
    <w:rsid w:val="00FC6541"/>
    <w:rsid w:val="00FC662F"/>
    <w:rsid w:val="00FD08D3"/>
    <w:rsid w:val="00FD328D"/>
    <w:rsid w:val="00FD34BF"/>
    <w:rsid w:val="00FD5B32"/>
    <w:rsid w:val="00FD7F37"/>
    <w:rsid w:val="00FE2518"/>
    <w:rsid w:val="00FE3F1C"/>
    <w:rsid w:val="00FE58C8"/>
    <w:rsid w:val="00FF0DDF"/>
    <w:rsid w:val="00FF3151"/>
    <w:rsid w:val="00FF320A"/>
    <w:rsid w:val="00FF4050"/>
    <w:rsid w:val="00FF4CCE"/>
    <w:rsid w:val="00FF663E"/>
    <w:rsid w:val="00FF6D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DAB"/>
    <w:rPr>
      <w:sz w:val="24"/>
      <w:szCs w:val="24"/>
    </w:rPr>
  </w:style>
  <w:style w:type="paragraph" w:styleId="1">
    <w:name w:val="heading 1"/>
    <w:basedOn w:val="a"/>
    <w:next w:val="a"/>
    <w:qFormat/>
    <w:rsid w:val="005B6E0D"/>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99330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B5DEE"/>
    <w:pPr>
      <w:keepNext/>
      <w:spacing w:before="240" w:after="60"/>
      <w:outlineLvl w:val="2"/>
    </w:pPr>
    <w:rPr>
      <w:rFonts w:ascii="Arial" w:hAnsi="Arial" w:cs="Arial"/>
      <w:b/>
      <w:bCs/>
      <w:sz w:val="26"/>
      <w:szCs w:val="26"/>
    </w:rPr>
  </w:style>
  <w:style w:type="paragraph" w:styleId="4">
    <w:name w:val="heading 4"/>
    <w:basedOn w:val="a"/>
    <w:next w:val="a"/>
    <w:qFormat/>
    <w:rsid w:val="00687235"/>
    <w:pPr>
      <w:keepNext/>
      <w:jc w:val="both"/>
      <w:outlineLvl w:val="3"/>
    </w:pPr>
    <w:rPr>
      <w:rFonts w:ascii="Arial Narrow" w:hAnsi="Arial Narrow"/>
      <w:b/>
      <w:color w:val="003366"/>
      <w:sz w:val="22"/>
      <w:szCs w:val="22"/>
    </w:rPr>
  </w:style>
  <w:style w:type="paragraph" w:styleId="5">
    <w:name w:val="heading 5"/>
    <w:basedOn w:val="normal"/>
    <w:next w:val="normal"/>
    <w:link w:val="5Char"/>
    <w:rsid w:val="0006551E"/>
    <w:pPr>
      <w:keepNext/>
      <w:keepLines/>
      <w:spacing w:before="220" w:after="40"/>
      <w:contextualSpacing/>
      <w:outlineLvl w:val="4"/>
    </w:pPr>
    <w:rPr>
      <w:b/>
      <w:sz w:val="22"/>
      <w:szCs w:val="22"/>
    </w:rPr>
  </w:style>
  <w:style w:type="paragraph" w:styleId="6">
    <w:name w:val="heading 6"/>
    <w:basedOn w:val="a"/>
    <w:next w:val="a"/>
    <w:qFormat/>
    <w:rsid w:val="00687235"/>
    <w:pPr>
      <w:keepNext/>
      <w:jc w:val="both"/>
      <w:outlineLvl w:val="5"/>
    </w:pPr>
    <w:rPr>
      <w:rFonts w:ascii="Arial Narrow" w:hAnsi="Arial Narrow"/>
      <w:b/>
      <w:sz w:val="22"/>
      <w:szCs w:val="22"/>
    </w:rPr>
  </w:style>
  <w:style w:type="paragraph" w:styleId="8">
    <w:name w:val="heading 8"/>
    <w:basedOn w:val="a"/>
    <w:next w:val="a"/>
    <w:qFormat/>
    <w:rsid w:val="00687235"/>
    <w:pPr>
      <w:keepNext/>
      <w:spacing w:before="100" w:beforeAutospacing="1" w:after="100" w:afterAutospacing="1"/>
      <w:jc w:val="both"/>
      <w:outlineLvl w:val="7"/>
    </w:pPr>
    <w:rPr>
      <w:rFonts w:ascii="Arial Narrow" w:hAnsi="Arial Narrow"/>
      <w:b/>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40E4A"/>
    <w:pPr>
      <w:tabs>
        <w:tab w:val="center" w:pos="4153"/>
        <w:tab w:val="right" w:pos="8306"/>
      </w:tabs>
    </w:pPr>
  </w:style>
  <w:style w:type="paragraph" w:styleId="a4">
    <w:name w:val="footer"/>
    <w:basedOn w:val="a"/>
    <w:link w:val="Char0"/>
    <w:uiPriority w:val="99"/>
    <w:rsid w:val="00D40E4A"/>
    <w:pPr>
      <w:tabs>
        <w:tab w:val="center" w:pos="4153"/>
        <w:tab w:val="right" w:pos="8306"/>
      </w:tabs>
    </w:pPr>
  </w:style>
  <w:style w:type="character" w:styleId="a5">
    <w:name w:val="page number"/>
    <w:basedOn w:val="a0"/>
    <w:rsid w:val="00D40E4A"/>
  </w:style>
  <w:style w:type="paragraph" w:styleId="a6">
    <w:name w:val="Balloon Text"/>
    <w:basedOn w:val="a"/>
    <w:link w:val="Char1"/>
    <w:semiHidden/>
    <w:rsid w:val="001561CD"/>
    <w:rPr>
      <w:rFonts w:ascii="Tahoma" w:hAnsi="Tahoma" w:cs="Tahoma"/>
      <w:sz w:val="16"/>
      <w:szCs w:val="16"/>
    </w:rPr>
  </w:style>
  <w:style w:type="paragraph" w:styleId="a7">
    <w:name w:val="Body Text"/>
    <w:basedOn w:val="a"/>
    <w:link w:val="Char2"/>
    <w:rsid w:val="00687235"/>
    <w:pPr>
      <w:jc w:val="both"/>
    </w:pPr>
    <w:rPr>
      <w:sz w:val="22"/>
      <w:szCs w:val="22"/>
    </w:rPr>
  </w:style>
  <w:style w:type="paragraph" w:styleId="20">
    <w:name w:val="Body Text Indent 2"/>
    <w:basedOn w:val="a"/>
    <w:rsid w:val="00687235"/>
    <w:pPr>
      <w:ind w:left="284"/>
      <w:jc w:val="both"/>
    </w:pPr>
    <w:rPr>
      <w:sz w:val="22"/>
      <w:szCs w:val="22"/>
    </w:rPr>
  </w:style>
  <w:style w:type="paragraph" w:styleId="21">
    <w:name w:val="Body Text 2"/>
    <w:basedOn w:val="a"/>
    <w:rsid w:val="00687235"/>
    <w:pPr>
      <w:spacing w:after="120" w:line="480" w:lineRule="auto"/>
    </w:pPr>
  </w:style>
  <w:style w:type="paragraph" w:styleId="30">
    <w:name w:val="Body Text 3"/>
    <w:basedOn w:val="a"/>
    <w:rsid w:val="00687235"/>
    <w:pPr>
      <w:spacing w:after="120"/>
    </w:pPr>
    <w:rPr>
      <w:sz w:val="16"/>
      <w:szCs w:val="16"/>
      <w:lang w:val="en-US"/>
    </w:rPr>
  </w:style>
  <w:style w:type="paragraph" w:styleId="31">
    <w:name w:val="Body Text Indent 3"/>
    <w:basedOn w:val="a"/>
    <w:rsid w:val="00687235"/>
    <w:pPr>
      <w:ind w:firstLine="720"/>
      <w:jc w:val="both"/>
    </w:pPr>
    <w:rPr>
      <w:sz w:val="22"/>
      <w:szCs w:val="22"/>
    </w:rPr>
  </w:style>
  <w:style w:type="paragraph" w:styleId="a8">
    <w:name w:val="footnote text"/>
    <w:aliases w:val="lábléc,Footnote,Fußnote,C26 Footnote body, Char,Footnote Text Char,Footnote Text Char1 Char,Footnote Text Char Char Char,Footnote Char Char Char,Fußnote Char Char Char,FSR footnote Char Char Char,lábléc Char Char Char,Footnote Char"/>
    <w:basedOn w:val="a"/>
    <w:link w:val="Char3"/>
    <w:uiPriority w:val="99"/>
    <w:rsid w:val="000E6FEF"/>
    <w:rPr>
      <w:sz w:val="20"/>
      <w:szCs w:val="20"/>
      <w:lang w:val="en-GB" w:eastAsia="en-US"/>
    </w:rPr>
  </w:style>
  <w:style w:type="character" w:styleId="a9">
    <w:name w:val="footnote reference"/>
    <w:aliases w:val="Footnote Reference Number,Footnote Reference_LVL6,Footnote Reference_LVL61,Footnote Reference_LVL62,Footnote Reference_LVL63,Footnote Reference_LVL64,C26 Footnote Number,Footnote Reference_LVL65,Footnote symbol,Footnote Reference1"/>
    <w:basedOn w:val="a0"/>
    <w:rsid w:val="000E6FEF"/>
    <w:rPr>
      <w:vertAlign w:val="superscript"/>
    </w:rPr>
  </w:style>
  <w:style w:type="paragraph" w:styleId="aa">
    <w:name w:val="Title"/>
    <w:basedOn w:val="a"/>
    <w:qFormat/>
    <w:rsid w:val="001A65AA"/>
    <w:pPr>
      <w:jc w:val="center"/>
    </w:pPr>
    <w:rPr>
      <w:rFonts w:ascii="Arial" w:hAnsi="Arial"/>
      <w:b/>
      <w:i/>
      <w:sz w:val="22"/>
      <w:szCs w:val="20"/>
      <w:lang w:eastAsia="en-US"/>
    </w:rPr>
  </w:style>
  <w:style w:type="character" w:styleId="ab">
    <w:name w:val="annotation reference"/>
    <w:basedOn w:val="a0"/>
    <w:semiHidden/>
    <w:rsid w:val="00142645"/>
    <w:rPr>
      <w:sz w:val="16"/>
      <w:szCs w:val="16"/>
    </w:rPr>
  </w:style>
  <w:style w:type="paragraph" w:styleId="ac">
    <w:name w:val="annotation text"/>
    <w:basedOn w:val="a"/>
    <w:link w:val="Char4"/>
    <w:uiPriority w:val="99"/>
    <w:semiHidden/>
    <w:rsid w:val="00142645"/>
    <w:rPr>
      <w:sz w:val="20"/>
      <w:szCs w:val="20"/>
    </w:rPr>
  </w:style>
  <w:style w:type="paragraph" w:styleId="ad">
    <w:name w:val="annotation subject"/>
    <w:basedOn w:val="ac"/>
    <w:next w:val="ac"/>
    <w:link w:val="Char5"/>
    <w:uiPriority w:val="99"/>
    <w:semiHidden/>
    <w:rsid w:val="00142645"/>
    <w:rPr>
      <w:b/>
      <w:bCs/>
    </w:rPr>
  </w:style>
  <w:style w:type="table" w:styleId="ae">
    <w:name w:val="Table Grid"/>
    <w:basedOn w:val="a1"/>
    <w:rsid w:val="00046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Παράγραφος λίστας1"/>
    <w:basedOn w:val="a"/>
    <w:qFormat/>
    <w:rsid w:val="00234956"/>
    <w:pPr>
      <w:spacing w:after="200" w:line="276" w:lineRule="auto"/>
      <w:ind w:left="720"/>
    </w:pPr>
    <w:rPr>
      <w:rFonts w:ascii="Calibri" w:eastAsia="Calibri" w:hAnsi="Calibri" w:cs="Calibri"/>
      <w:sz w:val="22"/>
      <w:szCs w:val="22"/>
      <w:lang w:eastAsia="en-US"/>
    </w:rPr>
  </w:style>
  <w:style w:type="paragraph" w:styleId="af">
    <w:name w:val="Body Text Indent"/>
    <w:basedOn w:val="a"/>
    <w:rsid w:val="00FC5A8B"/>
    <w:pPr>
      <w:spacing w:after="120"/>
      <w:ind w:left="283"/>
    </w:pPr>
  </w:style>
  <w:style w:type="character" w:customStyle="1" w:styleId="Char3">
    <w:name w:val="Κείμενο υποσημείωσης Char"/>
    <w:aliases w:val="lábléc Char,Footnote Char1,Fußnote Char,C26 Footnote body Char, Char Char,Footnote Text Char Char,Footnote Text Char1 Char Char,Footnote Text Char Char Char Char,Footnote Char Char Char Char,Fußnote Char Char Char Char"/>
    <w:basedOn w:val="a0"/>
    <w:link w:val="a8"/>
    <w:uiPriority w:val="99"/>
    <w:rsid w:val="00FC5A8B"/>
    <w:rPr>
      <w:lang w:val="en-GB" w:eastAsia="en-US" w:bidi="ar-SA"/>
    </w:rPr>
  </w:style>
  <w:style w:type="paragraph" w:customStyle="1" w:styleId="CM4">
    <w:name w:val="CM4"/>
    <w:basedOn w:val="a"/>
    <w:next w:val="a"/>
    <w:rsid w:val="00FC5A8B"/>
    <w:pPr>
      <w:autoSpaceDE w:val="0"/>
      <w:autoSpaceDN w:val="0"/>
      <w:adjustRightInd w:val="0"/>
      <w:spacing w:before="60" w:after="60"/>
    </w:pPr>
    <w:rPr>
      <w:rFonts w:ascii="EU Albertina" w:hAnsi="EU Albertina"/>
    </w:rPr>
  </w:style>
  <w:style w:type="character" w:customStyle="1" w:styleId="Char6">
    <w:name w:val="Κείμενο σημείωσης τέλους Char"/>
    <w:basedOn w:val="a0"/>
    <w:link w:val="af0"/>
    <w:semiHidden/>
    <w:rsid w:val="006E2D30"/>
    <w:rPr>
      <w:rFonts w:ascii="Cambria" w:eastAsia="Cambria" w:hAnsi="Cambria"/>
      <w:lang w:val="en-US" w:eastAsia="en-US" w:bidi="ar-SA"/>
    </w:rPr>
  </w:style>
  <w:style w:type="character" w:styleId="af1">
    <w:name w:val="line number"/>
    <w:basedOn w:val="a0"/>
    <w:rsid w:val="006E2D30"/>
  </w:style>
  <w:style w:type="paragraph" w:styleId="af2">
    <w:name w:val="List Paragraph"/>
    <w:basedOn w:val="a"/>
    <w:qFormat/>
    <w:rsid w:val="006E2D30"/>
    <w:pPr>
      <w:spacing w:after="200" w:line="276" w:lineRule="auto"/>
      <w:ind w:left="720"/>
      <w:contextualSpacing/>
    </w:pPr>
    <w:rPr>
      <w:rFonts w:ascii="Calibri" w:eastAsia="Calibri" w:hAnsi="Calibri"/>
      <w:sz w:val="22"/>
      <w:szCs w:val="22"/>
      <w:lang w:eastAsia="en-US"/>
    </w:rPr>
  </w:style>
  <w:style w:type="paragraph" w:styleId="af0">
    <w:name w:val="endnote text"/>
    <w:basedOn w:val="a"/>
    <w:link w:val="Char6"/>
    <w:semiHidden/>
    <w:unhideWhenUsed/>
    <w:rsid w:val="00786869"/>
    <w:pPr>
      <w:spacing w:after="200" w:line="276" w:lineRule="auto"/>
    </w:pPr>
    <w:rPr>
      <w:rFonts w:ascii="Cambria" w:eastAsia="Cambria" w:hAnsi="Cambria"/>
      <w:sz w:val="20"/>
      <w:szCs w:val="20"/>
      <w:lang w:val="en-US" w:eastAsia="en-US"/>
    </w:rPr>
  </w:style>
  <w:style w:type="character" w:customStyle="1" w:styleId="3Char">
    <w:name w:val="Επικεφαλίδα 3 Char"/>
    <w:basedOn w:val="a0"/>
    <w:link w:val="3"/>
    <w:rsid w:val="006D2901"/>
    <w:rPr>
      <w:rFonts w:ascii="Arial" w:hAnsi="Arial" w:cs="Arial"/>
      <w:b/>
      <w:bCs/>
      <w:sz w:val="26"/>
      <w:szCs w:val="26"/>
    </w:rPr>
  </w:style>
  <w:style w:type="character" w:customStyle="1" w:styleId="Char1">
    <w:name w:val="Κείμενο πλαισίου Char"/>
    <w:basedOn w:val="a0"/>
    <w:link w:val="a6"/>
    <w:semiHidden/>
    <w:rsid w:val="006D2901"/>
    <w:rPr>
      <w:rFonts w:ascii="Tahoma" w:hAnsi="Tahoma" w:cs="Tahoma"/>
      <w:sz w:val="16"/>
      <w:szCs w:val="16"/>
    </w:rPr>
  </w:style>
  <w:style w:type="character" w:customStyle="1" w:styleId="Char2">
    <w:name w:val="Σώμα κειμένου Char"/>
    <w:basedOn w:val="a0"/>
    <w:link w:val="a7"/>
    <w:rsid w:val="006D2901"/>
    <w:rPr>
      <w:sz w:val="22"/>
      <w:szCs w:val="22"/>
    </w:rPr>
  </w:style>
  <w:style w:type="character" w:customStyle="1" w:styleId="2Char">
    <w:name w:val="Επικεφαλίδα 2 Char"/>
    <w:basedOn w:val="a0"/>
    <w:link w:val="2"/>
    <w:rsid w:val="00DB1755"/>
    <w:rPr>
      <w:rFonts w:ascii="Arial" w:hAnsi="Arial" w:cs="Arial"/>
      <w:b/>
      <w:bCs/>
      <w:i/>
      <w:iCs/>
      <w:sz w:val="28"/>
      <w:szCs w:val="28"/>
    </w:rPr>
  </w:style>
  <w:style w:type="paragraph" w:styleId="af3">
    <w:name w:val="No Spacing"/>
    <w:uiPriority w:val="1"/>
    <w:qFormat/>
    <w:rsid w:val="00B33F1D"/>
    <w:rPr>
      <w:rFonts w:ascii="Calibri" w:eastAsia="Calibri" w:hAnsi="Calibri"/>
      <w:sz w:val="22"/>
      <w:szCs w:val="22"/>
      <w:lang w:eastAsia="en-US"/>
    </w:rPr>
  </w:style>
  <w:style w:type="character" w:customStyle="1" w:styleId="af4">
    <w:name w:val="Σύμβολο υποσημείωσης"/>
    <w:rsid w:val="00B33F1D"/>
    <w:rPr>
      <w:vertAlign w:val="superscript"/>
    </w:rPr>
  </w:style>
  <w:style w:type="character" w:customStyle="1" w:styleId="11">
    <w:name w:val="Παραπομπή υποσημείωσης1"/>
    <w:rsid w:val="00B33F1D"/>
    <w:rPr>
      <w:vertAlign w:val="superscript"/>
    </w:rPr>
  </w:style>
  <w:style w:type="character" w:styleId="af5">
    <w:name w:val="endnote reference"/>
    <w:basedOn w:val="a0"/>
    <w:rsid w:val="00155440"/>
    <w:rPr>
      <w:vertAlign w:val="superscript"/>
    </w:rPr>
  </w:style>
  <w:style w:type="character" w:customStyle="1" w:styleId="5Char">
    <w:name w:val="Επικεφαλίδα 5 Char"/>
    <w:basedOn w:val="a0"/>
    <w:link w:val="5"/>
    <w:rsid w:val="0006551E"/>
    <w:rPr>
      <w:b/>
      <w:color w:val="000000"/>
      <w:sz w:val="22"/>
      <w:szCs w:val="22"/>
    </w:rPr>
  </w:style>
  <w:style w:type="paragraph" w:customStyle="1" w:styleId="normal">
    <w:name w:val="normal"/>
    <w:rsid w:val="0006551E"/>
    <w:rPr>
      <w:color w:val="000000"/>
      <w:sz w:val="24"/>
      <w:szCs w:val="24"/>
    </w:rPr>
  </w:style>
  <w:style w:type="table" w:customStyle="1" w:styleId="TableNormal1">
    <w:name w:val="Table Normal1"/>
    <w:rsid w:val="0006551E"/>
    <w:rPr>
      <w:color w:val="000000"/>
      <w:sz w:val="24"/>
      <w:szCs w:val="24"/>
    </w:rPr>
    <w:tblPr>
      <w:tblCellMar>
        <w:top w:w="0" w:type="dxa"/>
        <w:left w:w="0" w:type="dxa"/>
        <w:bottom w:w="0" w:type="dxa"/>
        <w:right w:w="0" w:type="dxa"/>
      </w:tblCellMar>
    </w:tblPr>
  </w:style>
  <w:style w:type="paragraph" w:styleId="af6">
    <w:name w:val="Subtitle"/>
    <w:basedOn w:val="normal"/>
    <w:next w:val="normal"/>
    <w:link w:val="Char7"/>
    <w:rsid w:val="0006551E"/>
    <w:pPr>
      <w:keepNext/>
      <w:keepLines/>
      <w:spacing w:before="360" w:after="80"/>
      <w:contextualSpacing/>
    </w:pPr>
    <w:rPr>
      <w:rFonts w:ascii="Georgia" w:eastAsia="Georgia" w:hAnsi="Georgia" w:cs="Georgia"/>
      <w:i/>
      <w:color w:val="666666"/>
      <w:sz w:val="48"/>
      <w:szCs w:val="48"/>
    </w:rPr>
  </w:style>
  <w:style w:type="character" w:customStyle="1" w:styleId="Char7">
    <w:name w:val="Υπότιτλος Char"/>
    <w:basedOn w:val="a0"/>
    <w:link w:val="af6"/>
    <w:rsid w:val="0006551E"/>
    <w:rPr>
      <w:rFonts w:ascii="Georgia" w:eastAsia="Georgia" w:hAnsi="Georgia" w:cs="Georgia"/>
      <w:i/>
      <w:color w:val="666666"/>
      <w:sz w:val="48"/>
      <w:szCs w:val="48"/>
    </w:rPr>
  </w:style>
  <w:style w:type="table" w:customStyle="1" w:styleId="32">
    <w:name w:val="3"/>
    <w:basedOn w:val="TableNormal1"/>
    <w:rsid w:val="0006551E"/>
    <w:tblPr>
      <w:tblStyleRowBandSize w:val="1"/>
      <w:tblStyleColBandSize w:val="1"/>
      <w:tblCellMar>
        <w:top w:w="0" w:type="dxa"/>
        <w:left w:w="115" w:type="dxa"/>
        <w:bottom w:w="0" w:type="dxa"/>
        <w:right w:w="115" w:type="dxa"/>
      </w:tblCellMar>
    </w:tblPr>
  </w:style>
  <w:style w:type="table" w:customStyle="1" w:styleId="22">
    <w:name w:val="2"/>
    <w:basedOn w:val="TableNormal1"/>
    <w:rsid w:val="0006551E"/>
    <w:tblPr>
      <w:tblStyleRowBandSize w:val="1"/>
      <w:tblStyleColBandSize w:val="1"/>
      <w:tblCellMar>
        <w:top w:w="0" w:type="dxa"/>
        <w:left w:w="30" w:type="dxa"/>
        <w:bottom w:w="0" w:type="dxa"/>
        <w:right w:w="30" w:type="dxa"/>
      </w:tblCellMar>
    </w:tblPr>
  </w:style>
  <w:style w:type="table" w:customStyle="1" w:styleId="12">
    <w:name w:val="1"/>
    <w:basedOn w:val="TableNormal1"/>
    <w:rsid w:val="0006551E"/>
    <w:tblPr>
      <w:tblStyleRowBandSize w:val="1"/>
      <w:tblStyleColBandSize w:val="1"/>
      <w:tblCellMar>
        <w:top w:w="0" w:type="dxa"/>
        <w:left w:w="115" w:type="dxa"/>
        <w:bottom w:w="0" w:type="dxa"/>
        <w:right w:w="115" w:type="dxa"/>
      </w:tblCellMar>
    </w:tblPr>
  </w:style>
  <w:style w:type="character" w:customStyle="1" w:styleId="Char4">
    <w:name w:val="Κείμενο σχολίου Char"/>
    <w:basedOn w:val="a0"/>
    <w:link w:val="ac"/>
    <w:uiPriority w:val="99"/>
    <w:semiHidden/>
    <w:rsid w:val="0006551E"/>
  </w:style>
  <w:style w:type="character" w:customStyle="1" w:styleId="Char5">
    <w:name w:val="Θέμα σχολίου Char"/>
    <w:basedOn w:val="Char4"/>
    <w:link w:val="ad"/>
    <w:uiPriority w:val="99"/>
    <w:semiHidden/>
    <w:rsid w:val="0006551E"/>
    <w:rPr>
      <w:b/>
      <w:bCs/>
    </w:rPr>
  </w:style>
  <w:style w:type="character" w:customStyle="1" w:styleId="Char">
    <w:name w:val="Κεφαλίδα Char"/>
    <w:basedOn w:val="a0"/>
    <w:link w:val="a3"/>
    <w:uiPriority w:val="99"/>
    <w:rsid w:val="0006551E"/>
    <w:rPr>
      <w:sz w:val="24"/>
      <w:szCs w:val="24"/>
    </w:rPr>
  </w:style>
  <w:style w:type="character" w:customStyle="1" w:styleId="Char0">
    <w:name w:val="Υποσέλιδο Char"/>
    <w:basedOn w:val="a0"/>
    <w:link w:val="a4"/>
    <w:uiPriority w:val="99"/>
    <w:rsid w:val="0006551E"/>
    <w:rPr>
      <w:sz w:val="24"/>
      <w:szCs w:val="24"/>
    </w:rPr>
  </w:style>
</w:styles>
</file>

<file path=word/webSettings.xml><?xml version="1.0" encoding="utf-8"?>
<w:webSettings xmlns:r="http://schemas.openxmlformats.org/officeDocument/2006/relationships" xmlns:w="http://schemas.openxmlformats.org/wordprocessingml/2006/main">
  <w:divs>
    <w:div w:id="27873215">
      <w:bodyDiv w:val="1"/>
      <w:marLeft w:val="0"/>
      <w:marRight w:val="0"/>
      <w:marTop w:val="0"/>
      <w:marBottom w:val="0"/>
      <w:divBdr>
        <w:top w:val="none" w:sz="0" w:space="0" w:color="auto"/>
        <w:left w:val="none" w:sz="0" w:space="0" w:color="auto"/>
        <w:bottom w:val="none" w:sz="0" w:space="0" w:color="auto"/>
        <w:right w:val="none" w:sz="0" w:space="0" w:color="auto"/>
      </w:divBdr>
    </w:div>
    <w:div w:id="77988290">
      <w:bodyDiv w:val="1"/>
      <w:marLeft w:val="0"/>
      <w:marRight w:val="0"/>
      <w:marTop w:val="0"/>
      <w:marBottom w:val="0"/>
      <w:divBdr>
        <w:top w:val="none" w:sz="0" w:space="0" w:color="auto"/>
        <w:left w:val="none" w:sz="0" w:space="0" w:color="auto"/>
        <w:bottom w:val="none" w:sz="0" w:space="0" w:color="auto"/>
        <w:right w:val="none" w:sz="0" w:space="0" w:color="auto"/>
      </w:divBdr>
    </w:div>
    <w:div w:id="157119650">
      <w:bodyDiv w:val="1"/>
      <w:marLeft w:val="0"/>
      <w:marRight w:val="0"/>
      <w:marTop w:val="0"/>
      <w:marBottom w:val="0"/>
      <w:divBdr>
        <w:top w:val="none" w:sz="0" w:space="0" w:color="auto"/>
        <w:left w:val="none" w:sz="0" w:space="0" w:color="auto"/>
        <w:bottom w:val="none" w:sz="0" w:space="0" w:color="auto"/>
        <w:right w:val="none" w:sz="0" w:space="0" w:color="auto"/>
      </w:divBdr>
    </w:div>
    <w:div w:id="227375903">
      <w:bodyDiv w:val="1"/>
      <w:marLeft w:val="0"/>
      <w:marRight w:val="0"/>
      <w:marTop w:val="0"/>
      <w:marBottom w:val="0"/>
      <w:divBdr>
        <w:top w:val="none" w:sz="0" w:space="0" w:color="auto"/>
        <w:left w:val="none" w:sz="0" w:space="0" w:color="auto"/>
        <w:bottom w:val="none" w:sz="0" w:space="0" w:color="auto"/>
        <w:right w:val="none" w:sz="0" w:space="0" w:color="auto"/>
      </w:divBdr>
    </w:div>
    <w:div w:id="240455877">
      <w:bodyDiv w:val="1"/>
      <w:marLeft w:val="0"/>
      <w:marRight w:val="0"/>
      <w:marTop w:val="0"/>
      <w:marBottom w:val="0"/>
      <w:divBdr>
        <w:top w:val="none" w:sz="0" w:space="0" w:color="auto"/>
        <w:left w:val="none" w:sz="0" w:space="0" w:color="auto"/>
        <w:bottom w:val="none" w:sz="0" w:space="0" w:color="auto"/>
        <w:right w:val="none" w:sz="0" w:space="0" w:color="auto"/>
      </w:divBdr>
    </w:div>
    <w:div w:id="257179088">
      <w:bodyDiv w:val="1"/>
      <w:marLeft w:val="0"/>
      <w:marRight w:val="0"/>
      <w:marTop w:val="0"/>
      <w:marBottom w:val="0"/>
      <w:divBdr>
        <w:top w:val="none" w:sz="0" w:space="0" w:color="auto"/>
        <w:left w:val="none" w:sz="0" w:space="0" w:color="auto"/>
        <w:bottom w:val="none" w:sz="0" w:space="0" w:color="auto"/>
        <w:right w:val="none" w:sz="0" w:space="0" w:color="auto"/>
      </w:divBdr>
    </w:div>
    <w:div w:id="259265060">
      <w:bodyDiv w:val="1"/>
      <w:marLeft w:val="0"/>
      <w:marRight w:val="0"/>
      <w:marTop w:val="0"/>
      <w:marBottom w:val="0"/>
      <w:divBdr>
        <w:top w:val="none" w:sz="0" w:space="0" w:color="auto"/>
        <w:left w:val="none" w:sz="0" w:space="0" w:color="auto"/>
        <w:bottom w:val="none" w:sz="0" w:space="0" w:color="auto"/>
        <w:right w:val="none" w:sz="0" w:space="0" w:color="auto"/>
      </w:divBdr>
    </w:div>
    <w:div w:id="271594238">
      <w:bodyDiv w:val="1"/>
      <w:marLeft w:val="0"/>
      <w:marRight w:val="0"/>
      <w:marTop w:val="0"/>
      <w:marBottom w:val="0"/>
      <w:divBdr>
        <w:top w:val="none" w:sz="0" w:space="0" w:color="auto"/>
        <w:left w:val="none" w:sz="0" w:space="0" w:color="auto"/>
        <w:bottom w:val="none" w:sz="0" w:space="0" w:color="auto"/>
        <w:right w:val="none" w:sz="0" w:space="0" w:color="auto"/>
      </w:divBdr>
    </w:div>
    <w:div w:id="281689762">
      <w:bodyDiv w:val="1"/>
      <w:marLeft w:val="0"/>
      <w:marRight w:val="0"/>
      <w:marTop w:val="0"/>
      <w:marBottom w:val="0"/>
      <w:divBdr>
        <w:top w:val="none" w:sz="0" w:space="0" w:color="auto"/>
        <w:left w:val="none" w:sz="0" w:space="0" w:color="auto"/>
        <w:bottom w:val="none" w:sz="0" w:space="0" w:color="auto"/>
        <w:right w:val="none" w:sz="0" w:space="0" w:color="auto"/>
      </w:divBdr>
    </w:div>
    <w:div w:id="326980128">
      <w:bodyDiv w:val="1"/>
      <w:marLeft w:val="0"/>
      <w:marRight w:val="0"/>
      <w:marTop w:val="0"/>
      <w:marBottom w:val="0"/>
      <w:divBdr>
        <w:top w:val="none" w:sz="0" w:space="0" w:color="auto"/>
        <w:left w:val="none" w:sz="0" w:space="0" w:color="auto"/>
        <w:bottom w:val="none" w:sz="0" w:space="0" w:color="auto"/>
        <w:right w:val="none" w:sz="0" w:space="0" w:color="auto"/>
      </w:divBdr>
    </w:div>
    <w:div w:id="357970030">
      <w:bodyDiv w:val="1"/>
      <w:marLeft w:val="0"/>
      <w:marRight w:val="0"/>
      <w:marTop w:val="0"/>
      <w:marBottom w:val="0"/>
      <w:divBdr>
        <w:top w:val="none" w:sz="0" w:space="0" w:color="auto"/>
        <w:left w:val="none" w:sz="0" w:space="0" w:color="auto"/>
        <w:bottom w:val="none" w:sz="0" w:space="0" w:color="auto"/>
        <w:right w:val="none" w:sz="0" w:space="0" w:color="auto"/>
      </w:divBdr>
    </w:div>
    <w:div w:id="409497976">
      <w:bodyDiv w:val="1"/>
      <w:marLeft w:val="0"/>
      <w:marRight w:val="0"/>
      <w:marTop w:val="0"/>
      <w:marBottom w:val="0"/>
      <w:divBdr>
        <w:top w:val="none" w:sz="0" w:space="0" w:color="auto"/>
        <w:left w:val="none" w:sz="0" w:space="0" w:color="auto"/>
        <w:bottom w:val="none" w:sz="0" w:space="0" w:color="auto"/>
        <w:right w:val="none" w:sz="0" w:space="0" w:color="auto"/>
      </w:divBdr>
    </w:div>
    <w:div w:id="444083764">
      <w:bodyDiv w:val="1"/>
      <w:marLeft w:val="0"/>
      <w:marRight w:val="0"/>
      <w:marTop w:val="0"/>
      <w:marBottom w:val="0"/>
      <w:divBdr>
        <w:top w:val="none" w:sz="0" w:space="0" w:color="auto"/>
        <w:left w:val="none" w:sz="0" w:space="0" w:color="auto"/>
        <w:bottom w:val="none" w:sz="0" w:space="0" w:color="auto"/>
        <w:right w:val="none" w:sz="0" w:space="0" w:color="auto"/>
      </w:divBdr>
    </w:div>
    <w:div w:id="449514788">
      <w:bodyDiv w:val="1"/>
      <w:marLeft w:val="0"/>
      <w:marRight w:val="0"/>
      <w:marTop w:val="0"/>
      <w:marBottom w:val="0"/>
      <w:divBdr>
        <w:top w:val="none" w:sz="0" w:space="0" w:color="auto"/>
        <w:left w:val="none" w:sz="0" w:space="0" w:color="auto"/>
        <w:bottom w:val="none" w:sz="0" w:space="0" w:color="auto"/>
        <w:right w:val="none" w:sz="0" w:space="0" w:color="auto"/>
      </w:divBdr>
    </w:div>
    <w:div w:id="463356692">
      <w:bodyDiv w:val="1"/>
      <w:marLeft w:val="0"/>
      <w:marRight w:val="0"/>
      <w:marTop w:val="0"/>
      <w:marBottom w:val="0"/>
      <w:divBdr>
        <w:top w:val="none" w:sz="0" w:space="0" w:color="auto"/>
        <w:left w:val="none" w:sz="0" w:space="0" w:color="auto"/>
        <w:bottom w:val="none" w:sz="0" w:space="0" w:color="auto"/>
        <w:right w:val="none" w:sz="0" w:space="0" w:color="auto"/>
      </w:divBdr>
    </w:div>
    <w:div w:id="483543470">
      <w:bodyDiv w:val="1"/>
      <w:marLeft w:val="0"/>
      <w:marRight w:val="0"/>
      <w:marTop w:val="0"/>
      <w:marBottom w:val="0"/>
      <w:divBdr>
        <w:top w:val="none" w:sz="0" w:space="0" w:color="auto"/>
        <w:left w:val="none" w:sz="0" w:space="0" w:color="auto"/>
        <w:bottom w:val="none" w:sz="0" w:space="0" w:color="auto"/>
        <w:right w:val="none" w:sz="0" w:space="0" w:color="auto"/>
      </w:divBdr>
    </w:div>
    <w:div w:id="518154461">
      <w:bodyDiv w:val="1"/>
      <w:marLeft w:val="0"/>
      <w:marRight w:val="0"/>
      <w:marTop w:val="0"/>
      <w:marBottom w:val="0"/>
      <w:divBdr>
        <w:top w:val="none" w:sz="0" w:space="0" w:color="auto"/>
        <w:left w:val="none" w:sz="0" w:space="0" w:color="auto"/>
        <w:bottom w:val="none" w:sz="0" w:space="0" w:color="auto"/>
        <w:right w:val="none" w:sz="0" w:space="0" w:color="auto"/>
      </w:divBdr>
    </w:div>
    <w:div w:id="596989290">
      <w:bodyDiv w:val="1"/>
      <w:marLeft w:val="0"/>
      <w:marRight w:val="0"/>
      <w:marTop w:val="0"/>
      <w:marBottom w:val="0"/>
      <w:divBdr>
        <w:top w:val="none" w:sz="0" w:space="0" w:color="auto"/>
        <w:left w:val="none" w:sz="0" w:space="0" w:color="auto"/>
        <w:bottom w:val="none" w:sz="0" w:space="0" w:color="auto"/>
        <w:right w:val="none" w:sz="0" w:space="0" w:color="auto"/>
      </w:divBdr>
    </w:div>
    <w:div w:id="649140898">
      <w:bodyDiv w:val="1"/>
      <w:marLeft w:val="0"/>
      <w:marRight w:val="0"/>
      <w:marTop w:val="0"/>
      <w:marBottom w:val="0"/>
      <w:divBdr>
        <w:top w:val="none" w:sz="0" w:space="0" w:color="auto"/>
        <w:left w:val="none" w:sz="0" w:space="0" w:color="auto"/>
        <w:bottom w:val="none" w:sz="0" w:space="0" w:color="auto"/>
        <w:right w:val="none" w:sz="0" w:space="0" w:color="auto"/>
      </w:divBdr>
    </w:div>
    <w:div w:id="719937437">
      <w:bodyDiv w:val="1"/>
      <w:marLeft w:val="0"/>
      <w:marRight w:val="0"/>
      <w:marTop w:val="0"/>
      <w:marBottom w:val="0"/>
      <w:divBdr>
        <w:top w:val="none" w:sz="0" w:space="0" w:color="auto"/>
        <w:left w:val="none" w:sz="0" w:space="0" w:color="auto"/>
        <w:bottom w:val="none" w:sz="0" w:space="0" w:color="auto"/>
        <w:right w:val="none" w:sz="0" w:space="0" w:color="auto"/>
      </w:divBdr>
    </w:div>
    <w:div w:id="722099404">
      <w:bodyDiv w:val="1"/>
      <w:marLeft w:val="0"/>
      <w:marRight w:val="0"/>
      <w:marTop w:val="0"/>
      <w:marBottom w:val="0"/>
      <w:divBdr>
        <w:top w:val="none" w:sz="0" w:space="0" w:color="auto"/>
        <w:left w:val="none" w:sz="0" w:space="0" w:color="auto"/>
        <w:bottom w:val="none" w:sz="0" w:space="0" w:color="auto"/>
        <w:right w:val="none" w:sz="0" w:space="0" w:color="auto"/>
      </w:divBdr>
    </w:div>
    <w:div w:id="724839135">
      <w:bodyDiv w:val="1"/>
      <w:marLeft w:val="0"/>
      <w:marRight w:val="0"/>
      <w:marTop w:val="0"/>
      <w:marBottom w:val="0"/>
      <w:divBdr>
        <w:top w:val="none" w:sz="0" w:space="0" w:color="auto"/>
        <w:left w:val="none" w:sz="0" w:space="0" w:color="auto"/>
        <w:bottom w:val="none" w:sz="0" w:space="0" w:color="auto"/>
        <w:right w:val="none" w:sz="0" w:space="0" w:color="auto"/>
      </w:divBdr>
    </w:div>
    <w:div w:id="744762566">
      <w:bodyDiv w:val="1"/>
      <w:marLeft w:val="0"/>
      <w:marRight w:val="0"/>
      <w:marTop w:val="0"/>
      <w:marBottom w:val="0"/>
      <w:divBdr>
        <w:top w:val="none" w:sz="0" w:space="0" w:color="auto"/>
        <w:left w:val="none" w:sz="0" w:space="0" w:color="auto"/>
        <w:bottom w:val="none" w:sz="0" w:space="0" w:color="auto"/>
        <w:right w:val="none" w:sz="0" w:space="0" w:color="auto"/>
      </w:divBdr>
    </w:div>
    <w:div w:id="765346723">
      <w:bodyDiv w:val="1"/>
      <w:marLeft w:val="0"/>
      <w:marRight w:val="0"/>
      <w:marTop w:val="0"/>
      <w:marBottom w:val="0"/>
      <w:divBdr>
        <w:top w:val="none" w:sz="0" w:space="0" w:color="auto"/>
        <w:left w:val="none" w:sz="0" w:space="0" w:color="auto"/>
        <w:bottom w:val="none" w:sz="0" w:space="0" w:color="auto"/>
        <w:right w:val="none" w:sz="0" w:space="0" w:color="auto"/>
      </w:divBdr>
    </w:div>
    <w:div w:id="866985997">
      <w:bodyDiv w:val="1"/>
      <w:marLeft w:val="0"/>
      <w:marRight w:val="0"/>
      <w:marTop w:val="0"/>
      <w:marBottom w:val="0"/>
      <w:divBdr>
        <w:top w:val="none" w:sz="0" w:space="0" w:color="auto"/>
        <w:left w:val="none" w:sz="0" w:space="0" w:color="auto"/>
        <w:bottom w:val="none" w:sz="0" w:space="0" w:color="auto"/>
        <w:right w:val="none" w:sz="0" w:space="0" w:color="auto"/>
      </w:divBdr>
    </w:div>
    <w:div w:id="883753120">
      <w:bodyDiv w:val="1"/>
      <w:marLeft w:val="0"/>
      <w:marRight w:val="0"/>
      <w:marTop w:val="0"/>
      <w:marBottom w:val="0"/>
      <w:divBdr>
        <w:top w:val="none" w:sz="0" w:space="0" w:color="auto"/>
        <w:left w:val="none" w:sz="0" w:space="0" w:color="auto"/>
        <w:bottom w:val="none" w:sz="0" w:space="0" w:color="auto"/>
        <w:right w:val="none" w:sz="0" w:space="0" w:color="auto"/>
      </w:divBdr>
    </w:div>
    <w:div w:id="929894743">
      <w:bodyDiv w:val="1"/>
      <w:marLeft w:val="0"/>
      <w:marRight w:val="0"/>
      <w:marTop w:val="0"/>
      <w:marBottom w:val="0"/>
      <w:divBdr>
        <w:top w:val="none" w:sz="0" w:space="0" w:color="auto"/>
        <w:left w:val="none" w:sz="0" w:space="0" w:color="auto"/>
        <w:bottom w:val="none" w:sz="0" w:space="0" w:color="auto"/>
        <w:right w:val="none" w:sz="0" w:space="0" w:color="auto"/>
      </w:divBdr>
    </w:div>
    <w:div w:id="948657477">
      <w:bodyDiv w:val="1"/>
      <w:marLeft w:val="0"/>
      <w:marRight w:val="0"/>
      <w:marTop w:val="0"/>
      <w:marBottom w:val="0"/>
      <w:divBdr>
        <w:top w:val="none" w:sz="0" w:space="0" w:color="auto"/>
        <w:left w:val="none" w:sz="0" w:space="0" w:color="auto"/>
        <w:bottom w:val="none" w:sz="0" w:space="0" w:color="auto"/>
        <w:right w:val="none" w:sz="0" w:space="0" w:color="auto"/>
      </w:divBdr>
    </w:div>
    <w:div w:id="995185788">
      <w:bodyDiv w:val="1"/>
      <w:marLeft w:val="0"/>
      <w:marRight w:val="0"/>
      <w:marTop w:val="0"/>
      <w:marBottom w:val="0"/>
      <w:divBdr>
        <w:top w:val="none" w:sz="0" w:space="0" w:color="auto"/>
        <w:left w:val="none" w:sz="0" w:space="0" w:color="auto"/>
        <w:bottom w:val="none" w:sz="0" w:space="0" w:color="auto"/>
        <w:right w:val="none" w:sz="0" w:space="0" w:color="auto"/>
      </w:divBdr>
    </w:div>
    <w:div w:id="1055349887">
      <w:bodyDiv w:val="1"/>
      <w:marLeft w:val="0"/>
      <w:marRight w:val="0"/>
      <w:marTop w:val="0"/>
      <w:marBottom w:val="0"/>
      <w:divBdr>
        <w:top w:val="none" w:sz="0" w:space="0" w:color="auto"/>
        <w:left w:val="none" w:sz="0" w:space="0" w:color="auto"/>
        <w:bottom w:val="none" w:sz="0" w:space="0" w:color="auto"/>
        <w:right w:val="none" w:sz="0" w:space="0" w:color="auto"/>
      </w:divBdr>
    </w:div>
    <w:div w:id="1056515681">
      <w:bodyDiv w:val="1"/>
      <w:marLeft w:val="0"/>
      <w:marRight w:val="0"/>
      <w:marTop w:val="0"/>
      <w:marBottom w:val="0"/>
      <w:divBdr>
        <w:top w:val="none" w:sz="0" w:space="0" w:color="auto"/>
        <w:left w:val="none" w:sz="0" w:space="0" w:color="auto"/>
        <w:bottom w:val="none" w:sz="0" w:space="0" w:color="auto"/>
        <w:right w:val="none" w:sz="0" w:space="0" w:color="auto"/>
      </w:divBdr>
    </w:div>
    <w:div w:id="1183517776">
      <w:bodyDiv w:val="1"/>
      <w:marLeft w:val="0"/>
      <w:marRight w:val="0"/>
      <w:marTop w:val="0"/>
      <w:marBottom w:val="0"/>
      <w:divBdr>
        <w:top w:val="none" w:sz="0" w:space="0" w:color="auto"/>
        <w:left w:val="none" w:sz="0" w:space="0" w:color="auto"/>
        <w:bottom w:val="none" w:sz="0" w:space="0" w:color="auto"/>
        <w:right w:val="none" w:sz="0" w:space="0" w:color="auto"/>
      </w:divBdr>
    </w:div>
    <w:div w:id="1263148354">
      <w:bodyDiv w:val="1"/>
      <w:marLeft w:val="0"/>
      <w:marRight w:val="0"/>
      <w:marTop w:val="0"/>
      <w:marBottom w:val="0"/>
      <w:divBdr>
        <w:top w:val="none" w:sz="0" w:space="0" w:color="auto"/>
        <w:left w:val="none" w:sz="0" w:space="0" w:color="auto"/>
        <w:bottom w:val="none" w:sz="0" w:space="0" w:color="auto"/>
        <w:right w:val="none" w:sz="0" w:space="0" w:color="auto"/>
      </w:divBdr>
    </w:div>
    <w:div w:id="1316103057">
      <w:bodyDiv w:val="1"/>
      <w:marLeft w:val="0"/>
      <w:marRight w:val="0"/>
      <w:marTop w:val="0"/>
      <w:marBottom w:val="0"/>
      <w:divBdr>
        <w:top w:val="none" w:sz="0" w:space="0" w:color="auto"/>
        <w:left w:val="none" w:sz="0" w:space="0" w:color="auto"/>
        <w:bottom w:val="none" w:sz="0" w:space="0" w:color="auto"/>
        <w:right w:val="none" w:sz="0" w:space="0" w:color="auto"/>
      </w:divBdr>
    </w:div>
    <w:div w:id="1344238812">
      <w:bodyDiv w:val="1"/>
      <w:marLeft w:val="0"/>
      <w:marRight w:val="0"/>
      <w:marTop w:val="0"/>
      <w:marBottom w:val="0"/>
      <w:divBdr>
        <w:top w:val="none" w:sz="0" w:space="0" w:color="auto"/>
        <w:left w:val="none" w:sz="0" w:space="0" w:color="auto"/>
        <w:bottom w:val="none" w:sz="0" w:space="0" w:color="auto"/>
        <w:right w:val="none" w:sz="0" w:space="0" w:color="auto"/>
      </w:divBdr>
    </w:div>
    <w:div w:id="1355568979">
      <w:bodyDiv w:val="1"/>
      <w:marLeft w:val="0"/>
      <w:marRight w:val="0"/>
      <w:marTop w:val="0"/>
      <w:marBottom w:val="0"/>
      <w:divBdr>
        <w:top w:val="none" w:sz="0" w:space="0" w:color="auto"/>
        <w:left w:val="none" w:sz="0" w:space="0" w:color="auto"/>
        <w:bottom w:val="none" w:sz="0" w:space="0" w:color="auto"/>
        <w:right w:val="none" w:sz="0" w:space="0" w:color="auto"/>
      </w:divBdr>
    </w:div>
    <w:div w:id="1362976073">
      <w:bodyDiv w:val="1"/>
      <w:marLeft w:val="0"/>
      <w:marRight w:val="0"/>
      <w:marTop w:val="0"/>
      <w:marBottom w:val="0"/>
      <w:divBdr>
        <w:top w:val="none" w:sz="0" w:space="0" w:color="auto"/>
        <w:left w:val="none" w:sz="0" w:space="0" w:color="auto"/>
        <w:bottom w:val="none" w:sz="0" w:space="0" w:color="auto"/>
        <w:right w:val="none" w:sz="0" w:space="0" w:color="auto"/>
      </w:divBdr>
    </w:div>
    <w:div w:id="1447432443">
      <w:bodyDiv w:val="1"/>
      <w:marLeft w:val="0"/>
      <w:marRight w:val="0"/>
      <w:marTop w:val="0"/>
      <w:marBottom w:val="0"/>
      <w:divBdr>
        <w:top w:val="none" w:sz="0" w:space="0" w:color="auto"/>
        <w:left w:val="none" w:sz="0" w:space="0" w:color="auto"/>
        <w:bottom w:val="none" w:sz="0" w:space="0" w:color="auto"/>
        <w:right w:val="none" w:sz="0" w:space="0" w:color="auto"/>
      </w:divBdr>
    </w:div>
    <w:div w:id="1473786361">
      <w:bodyDiv w:val="1"/>
      <w:marLeft w:val="0"/>
      <w:marRight w:val="0"/>
      <w:marTop w:val="0"/>
      <w:marBottom w:val="0"/>
      <w:divBdr>
        <w:top w:val="none" w:sz="0" w:space="0" w:color="auto"/>
        <w:left w:val="none" w:sz="0" w:space="0" w:color="auto"/>
        <w:bottom w:val="none" w:sz="0" w:space="0" w:color="auto"/>
        <w:right w:val="none" w:sz="0" w:space="0" w:color="auto"/>
      </w:divBdr>
    </w:div>
    <w:div w:id="1493258961">
      <w:bodyDiv w:val="1"/>
      <w:marLeft w:val="0"/>
      <w:marRight w:val="0"/>
      <w:marTop w:val="0"/>
      <w:marBottom w:val="0"/>
      <w:divBdr>
        <w:top w:val="none" w:sz="0" w:space="0" w:color="auto"/>
        <w:left w:val="none" w:sz="0" w:space="0" w:color="auto"/>
        <w:bottom w:val="none" w:sz="0" w:space="0" w:color="auto"/>
        <w:right w:val="none" w:sz="0" w:space="0" w:color="auto"/>
      </w:divBdr>
    </w:div>
    <w:div w:id="1587612366">
      <w:bodyDiv w:val="1"/>
      <w:marLeft w:val="0"/>
      <w:marRight w:val="0"/>
      <w:marTop w:val="0"/>
      <w:marBottom w:val="0"/>
      <w:divBdr>
        <w:top w:val="none" w:sz="0" w:space="0" w:color="auto"/>
        <w:left w:val="none" w:sz="0" w:space="0" w:color="auto"/>
        <w:bottom w:val="none" w:sz="0" w:space="0" w:color="auto"/>
        <w:right w:val="none" w:sz="0" w:space="0" w:color="auto"/>
      </w:divBdr>
    </w:div>
    <w:div w:id="1591352837">
      <w:bodyDiv w:val="1"/>
      <w:marLeft w:val="0"/>
      <w:marRight w:val="0"/>
      <w:marTop w:val="0"/>
      <w:marBottom w:val="0"/>
      <w:divBdr>
        <w:top w:val="none" w:sz="0" w:space="0" w:color="auto"/>
        <w:left w:val="none" w:sz="0" w:space="0" w:color="auto"/>
        <w:bottom w:val="none" w:sz="0" w:space="0" w:color="auto"/>
        <w:right w:val="none" w:sz="0" w:space="0" w:color="auto"/>
      </w:divBdr>
    </w:div>
    <w:div w:id="1616016219">
      <w:bodyDiv w:val="1"/>
      <w:marLeft w:val="0"/>
      <w:marRight w:val="0"/>
      <w:marTop w:val="0"/>
      <w:marBottom w:val="0"/>
      <w:divBdr>
        <w:top w:val="none" w:sz="0" w:space="0" w:color="auto"/>
        <w:left w:val="none" w:sz="0" w:space="0" w:color="auto"/>
        <w:bottom w:val="none" w:sz="0" w:space="0" w:color="auto"/>
        <w:right w:val="none" w:sz="0" w:space="0" w:color="auto"/>
      </w:divBdr>
    </w:div>
    <w:div w:id="1672758229">
      <w:bodyDiv w:val="1"/>
      <w:marLeft w:val="0"/>
      <w:marRight w:val="0"/>
      <w:marTop w:val="0"/>
      <w:marBottom w:val="0"/>
      <w:divBdr>
        <w:top w:val="none" w:sz="0" w:space="0" w:color="auto"/>
        <w:left w:val="none" w:sz="0" w:space="0" w:color="auto"/>
        <w:bottom w:val="none" w:sz="0" w:space="0" w:color="auto"/>
        <w:right w:val="none" w:sz="0" w:space="0" w:color="auto"/>
      </w:divBdr>
    </w:div>
    <w:div w:id="1709724596">
      <w:bodyDiv w:val="1"/>
      <w:marLeft w:val="0"/>
      <w:marRight w:val="0"/>
      <w:marTop w:val="0"/>
      <w:marBottom w:val="0"/>
      <w:divBdr>
        <w:top w:val="none" w:sz="0" w:space="0" w:color="auto"/>
        <w:left w:val="none" w:sz="0" w:space="0" w:color="auto"/>
        <w:bottom w:val="none" w:sz="0" w:space="0" w:color="auto"/>
        <w:right w:val="none" w:sz="0" w:space="0" w:color="auto"/>
      </w:divBdr>
    </w:div>
    <w:div w:id="1717702679">
      <w:bodyDiv w:val="1"/>
      <w:marLeft w:val="0"/>
      <w:marRight w:val="0"/>
      <w:marTop w:val="0"/>
      <w:marBottom w:val="0"/>
      <w:divBdr>
        <w:top w:val="none" w:sz="0" w:space="0" w:color="auto"/>
        <w:left w:val="none" w:sz="0" w:space="0" w:color="auto"/>
        <w:bottom w:val="none" w:sz="0" w:space="0" w:color="auto"/>
        <w:right w:val="none" w:sz="0" w:space="0" w:color="auto"/>
      </w:divBdr>
    </w:div>
    <w:div w:id="1767338769">
      <w:bodyDiv w:val="1"/>
      <w:marLeft w:val="0"/>
      <w:marRight w:val="0"/>
      <w:marTop w:val="0"/>
      <w:marBottom w:val="0"/>
      <w:divBdr>
        <w:top w:val="none" w:sz="0" w:space="0" w:color="auto"/>
        <w:left w:val="none" w:sz="0" w:space="0" w:color="auto"/>
        <w:bottom w:val="none" w:sz="0" w:space="0" w:color="auto"/>
        <w:right w:val="none" w:sz="0" w:space="0" w:color="auto"/>
      </w:divBdr>
    </w:div>
    <w:div w:id="1780835037">
      <w:bodyDiv w:val="1"/>
      <w:marLeft w:val="0"/>
      <w:marRight w:val="0"/>
      <w:marTop w:val="0"/>
      <w:marBottom w:val="0"/>
      <w:divBdr>
        <w:top w:val="none" w:sz="0" w:space="0" w:color="auto"/>
        <w:left w:val="none" w:sz="0" w:space="0" w:color="auto"/>
        <w:bottom w:val="none" w:sz="0" w:space="0" w:color="auto"/>
        <w:right w:val="none" w:sz="0" w:space="0" w:color="auto"/>
      </w:divBdr>
    </w:div>
    <w:div w:id="1820657131">
      <w:bodyDiv w:val="1"/>
      <w:marLeft w:val="0"/>
      <w:marRight w:val="0"/>
      <w:marTop w:val="0"/>
      <w:marBottom w:val="0"/>
      <w:divBdr>
        <w:top w:val="none" w:sz="0" w:space="0" w:color="auto"/>
        <w:left w:val="none" w:sz="0" w:space="0" w:color="auto"/>
        <w:bottom w:val="none" w:sz="0" w:space="0" w:color="auto"/>
        <w:right w:val="none" w:sz="0" w:space="0" w:color="auto"/>
      </w:divBdr>
    </w:div>
    <w:div w:id="1833906448">
      <w:bodyDiv w:val="1"/>
      <w:marLeft w:val="0"/>
      <w:marRight w:val="0"/>
      <w:marTop w:val="0"/>
      <w:marBottom w:val="0"/>
      <w:divBdr>
        <w:top w:val="none" w:sz="0" w:space="0" w:color="auto"/>
        <w:left w:val="none" w:sz="0" w:space="0" w:color="auto"/>
        <w:bottom w:val="none" w:sz="0" w:space="0" w:color="auto"/>
        <w:right w:val="none" w:sz="0" w:space="0" w:color="auto"/>
      </w:divBdr>
    </w:div>
    <w:div w:id="1891114747">
      <w:bodyDiv w:val="1"/>
      <w:marLeft w:val="0"/>
      <w:marRight w:val="0"/>
      <w:marTop w:val="0"/>
      <w:marBottom w:val="0"/>
      <w:divBdr>
        <w:top w:val="none" w:sz="0" w:space="0" w:color="auto"/>
        <w:left w:val="none" w:sz="0" w:space="0" w:color="auto"/>
        <w:bottom w:val="none" w:sz="0" w:space="0" w:color="auto"/>
        <w:right w:val="none" w:sz="0" w:space="0" w:color="auto"/>
      </w:divBdr>
    </w:div>
    <w:div w:id="1935430984">
      <w:bodyDiv w:val="1"/>
      <w:marLeft w:val="0"/>
      <w:marRight w:val="0"/>
      <w:marTop w:val="0"/>
      <w:marBottom w:val="0"/>
      <w:divBdr>
        <w:top w:val="none" w:sz="0" w:space="0" w:color="auto"/>
        <w:left w:val="none" w:sz="0" w:space="0" w:color="auto"/>
        <w:bottom w:val="none" w:sz="0" w:space="0" w:color="auto"/>
        <w:right w:val="none" w:sz="0" w:space="0" w:color="auto"/>
      </w:divBdr>
    </w:div>
    <w:div w:id="1965768326">
      <w:bodyDiv w:val="1"/>
      <w:marLeft w:val="0"/>
      <w:marRight w:val="0"/>
      <w:marTop w:val="0"/>
      <w:marBottom w:val="0"/>
      <w:divBdr>
        <w:top w:val="none" w:sz="0" w:space="0" w:color="auto"/>
        <w:left w:val="none" w:sz="0" w:space="0" w:color="auto"/>
        <w:bottom w:val="none" w:sz="0" w:space="0" w:color="auto"/>
        <w:right w:val="none" w:sz="0" w:space="0" w:color="auto"/>
      </w:divBdr>
    </w:div>
    <w:div w:id="1967736416">
      <w:bodyDiv w:val="1"/>
      <w:marLeft w:val="0"/>
      <w:marRight w:val="0"/>
      <w:marTop w:val="0"/>
      <w:marBottom w:val="0"/>
      <w:divBdr>
        <w:top w:val="none" w:sz="0" w:space="0" w:color="auto"/>
        <w:left w:val="none" w:sz="0" w:space="0" w:color="auto"/>
        <w:bottom w:val="none" w:sz="0" w:space="0" w:color="auto"/>
        <w:right w:val="none" w:sz="0" w:space="0" w:color="auto"/>
      </w:divBdr>
    </w:div>
    <w:div w:id="1978532442">
      <w:bodyDiv w:val="1"/>
      <w:marLeft w:val="0"/>
      <w:marRight w:val="0"/>
      <w:marTop w:val="0"/>
      <w:marBottom w:val="0"/>
      <w:divBdr>
        <w:top w:val="none" w:sz="0" w:space="0" w:color="auto"/>
        <w:left w:val="none" w:sz="0" w:space="0" w:color="auto"/>
        <w:bottom w:val="none" w:sz="0" w:space="0" w:color="auto"/>
        <w:right w:val="none" w:sz="0" w:space="0" w:color="auto"/>
      </w:divBdr>
    </w:div>
    <w:div w:id="2089840098">
      <w:bodyDiv w:val="1"/>
      <w:marLeft w:val="0"/>
      <w:marRight w:val="0"/>
      <w:marTop w:val="0"/>
      <w:marBottom w:val="0"/>
      <w:divBdr>
        <w:top w:val="none" w:sz="0" w:space="0" w:color="auto"/>
        <w:left w:val="none" w:sz="0" w:space="0" w:color="auto"/>
        <w:bottom w:val="none" w:sz="0" w:space="0" w:color="auto"/>
        <w:right w:val="none" w:sz="0" w:space="0" w:color="auto"/>
      </w:divBdr>
    </w:div>
    <w:div w:id="2102405674">
      <w:bodyDiv w:val="1"/>
      <w:marLeft w:val="0"/>
      <w:marRight w:val="0"/>
      <w:marTop w:val="0"/>
      <w:marBottom w:val="0"/>
      <w:divBdr>
        <w:top w:val="none" w:sz="0" w:space="0" w:color="auto"/>
        <w:left w:val="none" w:sz="0" w:space="0" w:color="auto"/>
        <w:bottom w:val="none" w:sz="0" w:space="0" w:color="auto"/>
        <w:right w:val="none" w:sz="0" w:space="0" w:color="auto"/>
      </w:divBdr>
    </w:div>
    <w:div w:id="21127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vlach\Application%20Data\Microsoft\&#928;&#961;&#972;&#964;&#965;&#960;&#945;\EIS_200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0233-9265-4CF1-AD1B-2ECE7A2A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0</TotalTime>
  <Pages>19</Pages>
  <Words>10590</Words>
  <Characters>57192</Characters>
  <Application>Microsoft Office Word</Application>
  <DocSecurity>0</DocSecurity>
  <Lines>476</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mvlach</dc:creator>
  <cp:lastModifiedBy>user</cp:lastModifiedBy>
  <cp:revision>2</cp:revision>
  <cp:lastPrinted>2016-11-14T16:21:00Z</cp:lastPrinted>
  <dcterms:created xsi:type="dcterms:W3CDTF">2016-11-21T16:11:00Z</dcterms:created>
  <dcterms:modified xsi:type="dcterms:W3CDTF">2016-11-21T16:11:00Z</dcterms:modified>
</cp:coreProperties>
</file>