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26" w:type="dxa"/>
        <w:jc w:val="center"/>
        <w:tblBorders>
          <w:insideH w:val="single" w:sz="4" w:space="0" w:color="FF6600"/>
        </w:tblBorders>
        <w:tblLayout w:type="fixed"/>
        <w:tblLook w:val="01E0" w:firstRow="1" w:lastRow="1" w:firstColumn="1" w:lastColumn="1" w:noHBand="0" w:noVBand="0"/>
      </w:tblPr>
      <w:tblGrid>
        <w:gridCol w:w="2444"/>
        <w:gridCol w:w="7582"/>
      </w:tblGrid>
      <w:tr w:rsidR="00B640C8" w:rsidTr="006C6D36">
        <w:trPr>
          <w:cantSplit/>
          <w:trHeight w:val="893"/>
          <w:jc w:val="center"/>
        </w:trPr>
        <w:tc>
          <w:tcPr>
            <w:tcW w:w="2444" w:type="dxa"/>
            <w:vMerge w:val="restart"/>
            <w:vAlign w:val="center"/>
          </w:tcPr>
          <w:p w:rsidR="00B640C8" w:rsidRDefault="000633CE" w:rsidP="006C6D36">
            <w:pPr>
              <w:jc w:val="center"/>
              <w:rPr>
                <w:lang w:val="en-US"/>
              </w:rPr>
            </w:pPr>
            <w:r>
              <w:rPr>
                <w:noProof/>
              </w:rPr>
              <w:drawing>
                <wp:anchor distT="0" distB="0" distL="114300" distR="114300" simplePos="0" relativeHeight="251652608" behindDoc="1" locked="0" layoutInCell="1" allowOverlap="1" wp14:anchorId="4E3A689F" wp14:editId="31CC7048">
                  <wp:simplePos x="0" y="0"/>
                  <wp:positionH relativeFrom="column">
                    <wp:posOffset>20320</wp:posOffset>
                  </wp:positionH>
                  <wp:positionV relativeFrom="paragraph">
                    <wp:posOffset>-100330</wp:posOffset>
                  </wp:positionV>
                  <wp:extent cx="1252855" cy="1011555"/>
                  <wp:effectExtent l="19050" t="0" r="4445" b="0"/>
                  <wp:wrapNone/>
                  <wp:docPr id="7" name="Εικόνα 10" descr="imelogofin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imelogofinal5"/>
                          <pic:cNvPicPr>
                            <a:picLocks noChangeAspect="1" noChangeArrowheads="1"/>
                          </pic:cNvPicPr>
                        </pic:nvPicPr>
                        <pic:blipFill>
                          <a:blip r:embed="rId9"/>
                          <a:srcRect/>
                          <a:stretch>
                            <a:fillRect/>
                          </a:stretch>
                        </pic:blipFill>
                        <pic:spPr bwMode="auto">
                          <a:xfrm>
                            <a:off x="0" y="0"/>
                            <a:ext cx="1252855" cy="1011555"/>
                          </a:xfrm>
                          <a:prstGeom prst="rect">
                            <a:avLst/>
                          </a:prstGeom>
                          <a:noFill/>
                          <a:ln w="9525">
                            <a:noFill/>
                            <a:miter lim="800000"/>
                            <a:headEnd/>
                            <a:tailEnd/>
                          </a:ln>
                        </pic:spPr>
                      </pic:pic>
                    </a:graphicData>
                  </a:graphic>
                </wp:anchor>
              </w:drawing>
            </w:r>
          </w:p>
        </w:tc>
        <w:tc>
          <w:tcPr>
            <w:tcW w:w="7582" w:type="dxa"/>
            <w:vAlign w:val="center"/>
          </w:tcPr>
          <w:p w:rsidR="00B640C8" w:rsidRDefault="00B640C8" w:rsidP="006C6D36">
            <w:pPr>
              <w:autoSpaceDE w:val="0"/>
              <w:autoSpaceDN w:val="0"/>
              <w:adjustRightInd w:val="0"/>
              <w:jc w:val="center"/>
              <w:rPr>
                <w:rFonts w:ascii="Trebuchet MS" w:hAnsi="Trebuchet MS" w:cs="Trebuchet MS"/>
                <w:b/>
                <w:bCs/>
                <w:color w:val="626262"/>
                <w:spacing w:val="20"/>
                <w:sz w:val="30"/>
                <w:szCs w:val="30"/>
              </w:rPr>
            </w:pPr>
            <w:r>
              <w:rPr>
                <w:rFonts w:ascii="Trebuchet MS" w:hAnsi="Trebuchet MS" w:cs="Trebuchet MS"/>
                <w:b/>
                <w:bCs/>
                <w:color w:val="626262"/>
                <w:spacing w:val="20"/>
                <w:sz w:val="40"/>
                <w:szCs w:val="40"/>
              </w:rPr>
              <w:t xml:space="preserve">ΙΝΣΤΙΤΟΥΤΟ ΜΙΚΡΩΝ ΕΠΙΧΕΙΡΗΣΕΩΝ        </w:t>
            </w:r>
          </w:p>
          <w:p w:rsidR="00B640C8" w:rsidRDefault="00B640C8" w:rsidP="006C6D36">
            <w:pPr>
              <w:autoSpaceDE w:val="0"/>
              <w:autoSpaceDN w:val="0"/>
              <w:adjustRightInd w:val="0"/>
              <w:jc w:val="center"/>
              <w:rPr>
                <w:rFonts w:ascii="Trebuchet MS" w:hAnsi="Trebuchet MS" w:cs="Trebuchet MS"/>
                <w:b/>
                <w:bCs/>
                <w:color w:val="626262"/>
                <w:spacing w:val="20"/>
              </w:rPr>
            </w:pPr>
            <w:r>
              <w:rPr>
                <w:rFonts w:ascii="Trebuchet MS" w:hAnsi="Trebuchet MS" w:cs="Trebuchet MS"/>
                <w:b/>
                <w:bCs/>
                <w:color w:val="626262"/>
                <w:spacing w:val="20"/>
              </w:rPr>
              <w:t xml:space="preserve">ΓΕΝΙΚΗ ΣΥΝΟΜΟΣΠΟΝΔΙΑ  ΕΠΑΓΓΕΛΜΑΤΙΩΝ  ΒΙΟΤΕΧΝΩΝ ΕΜΠΟΡΩΝ  ΕΛΛΑΔΑΣ </w:t>
            </w:r>
          </w:p>
        </w:tc>
      </w:tr>
      <w:tr w:rsidR="00B640C8" w:rsidTr="006C6D36">
        <w:trPr>
          <w:cantSplit/>
          <w:trHeight w:val="70"/>
          <w:jc w:val="center"/>
        </w:trPr>
        <w:tc>
          <w:tcPr>
            <w:tcW w:w="2444" w:type="dxa"/>
            <w:vMerge/>
          </w:tcPr>
          <w:p w:rsidR="00B640C8" w:rsidRDefault="00B640C8" w:rsidP="006C6D36"/>
        </w:tc>
        <w:tc>
          <w:tcPr>
            <w:tcW w:w="7582" w:type="dxa"/>
            <w:vAlign w:val="center"/>
          </w:tcPr>
          <w:p w:rsidR="00B640C8" w:rsidRDefault="00B640C8" w:rsidP="006C6D36">
            <w:pPr>
              <w:autoSpaceDE w:val="0"/>
              <w:autoSpaceDN w:val="0"/>
              <w:adjustRightInd w:val="0"/>
              <w:jc w:val="center"/>
              <w:rPr>
                <w:rFonts w:ascii="Century Gothic" w:hAnsi="Century Gothic" w:cs="Trebuchet MS"/>
                <w:b/>
                <w:bCs/>
                <w:color w:val="626262"/>
              </w:rPr>
            </w:pPr>
            <w:r>
              <w:rPr>
                <w:rFonts w:ascii="Century Gothic" w:hAnsi="Century Gothic" w:cs="Trebuchet MS"/>
                <w:b/>
                <w:bCs/>
                <w:color w:val="626262"/>
                <w:sz w:val="22"/>
                <w:szCs w:val="22"/>
              </w:rPr>
              <w:t xml:space="preserve">Αριστοτέλους 46, 104 33 Αθήνα, </w:t>
            </w:r>
            <w:proofErr w:type="spellStart"/>
            <w:r>
              <w:rPr>
                <w:rFonts w:ascii="Century Gothic" w:hAnsi="Century Gothic" w:cs="Trebuchet MS"/>
                <w:b/>
                <w:bCs/>
                <w:color w:val="626262"/>
                <w:sz w:val="22"/>
                <w:szCs w:val="22"/>
              </w:rPr>
              <w:t>Τηλ</w:t>
            </w:r>
            <w:proofErr w:type="spellEnd"/>
            <w:r>
              <w:rPr>
                <w:rFonts w:ascii="Century Gothic" w:hAnsi="Century Gothic" w:cs="Trebuchet MS"/>
                <w:b/>
                <w:bCs/>
                <w:color w:val="626262"/>
                <w:sz w:val="22"/>
                <w:szCs w:val="22"/>
              </w:rPr>
              <w:t xml:space="preserve">. 210 8846852, </w:t>
            </w:r>
            <w:proofErr w:type="spellStart"/>
            <w:r>
              <w:rPr>
                <w:rFonts w:ascii="Century Gothic" w:hAnsi="Century Gothic" w:cs="Trebuchet MS"/>
                <w:b/>
                <w:bCs/>
                <w:color w:val="626262"/>
                <w:sz w:val="22"/>
                <w:szCs w:val="22"/>
              </w:rPr>
              <w:t>Fax</w:t>
            </w:r>
            <w:proofErr w:type="spellEnd"/>
            <w:r>
              <w:rPr>
                <w:rFonts w:ascii="Century Gothic" w:hAnsi="Century Gothic" w:cs="Trebuchet MS"/>
                <w:b/>
                <w:bCs/>
                <w:color w:val="626262"/>
                <w:sz w:val="22"/>
                <w:szCs w:val="22"/>
              </w:rPr>
              <w:t>. 210 8846853</w:t>
            </w:r>
          </w:p>
          <w:p w:rsidR="00B640C8" w:rsidRDefault="008E45E1" w:rsidP="006C6D36">
            <w:pPr>
              <w:autoSpaceDE w:val="0"/>
              <w:autoSpaceDN w:val="0"/>
              <w:adjustRightInd w:val="0"/>
              <w:jc w:val="center"/>
              <w:rPr>
                <w:rFonts w:ascii="Trebuchet MS" w:hAnsi="Trebuchet MS" w:cs="Trebuchet MS"/>
                <w:b/>
                <w:bCs/>
                <w:color w:val="626262"/>
              </w:rPr>
            </w:pPr>
            <w:hyperlink r:id="rId10" w:history="1">
              <w:r w:rsidR="00B640C8">
                <w:rPr>
                  <w:rFonts w:ascii="Century Gothic" w:hAnsi="Century Gothic" w:cs="Trebuchet MS"/>
                  <w:b/>
                  <w:bCs/>
                  <w:color w:val="626262"/>
                  <w:sz w:val="22"/>
                  <w:szCs w:val="22"/>
                </w:rPr>
                <w:t>www.imegsevee.gr</w:t>
              </w:r>
            </w:hyperlink>
            <w:r w:rsidR="00B640C8">
              <w:rPr>
                <w:rFonts w:ascii="Century Gothic" w:hAnsi="Century Gothic" w:cs="Trebuchet MS"/>
                <w:b/>
                <w:bCs/>
                <w:color w:val="626262"/>
                <w:sz w:val="22"/>
                <w:szCs w:val="22"/>
              </w:rPr>
              <w:t xml:space="preserve">, </w:t>
            </w:r>
            <w:hyperlink r:id="rId11" w:history="1">
              <w:r w:rsidR="00B640C8">
                <w:rPr>
                  <w:rFonts w:ascii="Century Gothic" w:hAnsi="Century Gothic" w:cs="Trebuchet MS"/>
                  <w:b/>
                  <w:bCs/>
                  <w:color w:val="626262"/>
                  <w:sz w:val="22"/>
                  <w:szCs w:val="22"/>
                </w:rPr>
                <w:t>info@imegsevee.gr</w:t>
              </w:r>
            </w:hyperlink>
            <w:r w:rsidR="00B640C8">
              <w:rPr>
                <w:rFonts w:ascii="Trebuchet MS" w:hAnsi="Trebuchet MS" w:cs="Trebuchet MS"/>
                <w:b/>
                <w:bCs/>
                <w:color w:val="626262"/>
                <w:sz w:val="22"/>
                <w:szCs w:val="22"/>
              </w:rPr>
              <w:t xml:space="preserve"> </w:t>
            </w:r>
          </w:p>
        </w:tc>
      </w:tr>
    </w:tbl>
    <w:p w:rsidR="00B640C8" w:rsidRPr="00527926" w:rsidRDefault="00CE38CF" w:rsidP="00527926">
      <w:pPr>
        <w:spacing w:line="360" w:lineRule="auto"/>
      </w:pPr>
      <w:r>
        <w:rPr>
          <w:rFonts w:ascii="Arial Narrow" w:hAnsi="Arial Narrow"/>
          <w:sz w:val="22"/>
        </w:rPr>
        <w:t>Αθήνα,</w:t>
      </w:r>
      <w:r w:rsidR="00910FDB">
        <w:rPr>
          <w:rFonts w:ascii="Arial Narrow" w:hAnsi="Arial Narrow"/>
          <w:sz w:val="22"/>
        </w:rPr>
        <w:t xml:space="preserve"> </w:t>
      </w:r>
      <w:r w:rsidR="00E713CE">
        <w:rPr>
          <w:rFonts w:ascii="Arial Narrow" w:hAnsi="Arial Narrow"/>
          <w:sz w:val="22"/>
        </w:rPr>
        <w:t>23</w:t>
      </w:r>
      <w:r w:rsidR="00B5498C" w:rsidRPr="00F71ACC">
        <w:rPr>
          <w:rFonts w:ascii="Arial Narrow" w:hAnsi="Arial Narrow"/>
          <w:sz w:val="22"/>
        </w:rPr>
        <w:t xml:space="preserve"> </w:t>
      </w:r>
      <w:r w:rsidR="00E667ED">
        <w:rPr>
          <w:rFonts w:ascii="Arial Narrow" w:hAnsi="Arial Narrow"/>
          <w:sz w:val="22"/>
        </w:rPr>
        <w:t>Μαρτίου</w:t>
      </w:r>
      <w:r w:rsidR="00DE3BED">
        <w:rPr>
          <w:rFonts w:ascii="Arial Narrow" w:hAnsi="Arial Narrow"/>
          <w:sz w:val="22"/>
        </w:rPr>
        <w:t xml:space="preserve"> 201</w:t>
      </w:r>
      <w:r w:rsidR="00E667ED">
        <w:rPr>
          <w:rFonts w:ascii="Arial Narrow" w:hAnsi="Arial Narrow"/>
          <w:sz w:val="22"/>
        </w:rPr>
        <w:t>7</w:t>
      </w:r>
      <w:r w:rsidR="00B640C8">
        <w:rPr>
          <w:rFonts w:ascii="Arial Narrow" w:hAnsi="Arial Narrow"/>
          <w:sz w:val="22"/>
        </w:rPr>
        <w:tab/>
      </w:r>
      <w:r w:rsidR="00B640C8" w:rsidRPr="00621053">
        <w:rPr>
          <w:rFonts w:ascii="Arial Narrow" w:hAnsi="Arial Narrow"/>
          <w:sz w:val="22"/>
        </w:rPr>
        <w:tab/>
      </w:r>
      <w:r w:rsidR="00B640C8" w:rsidRPr="00621053">
        <w:rPr>
          <w:rFonts w:ascii="Arial Narrow" w:hAnsi="Arial Narrow"/>
          <w:sz w:val="22"/>
        </w:rPr>
        <w:tab/>
      </w:r>
      <w:r w:rsidR="00B640C8" w:rsidRPr="00621053">
        <w:rPr>
          <w:rFonts w:ascii="Arial Narrow" w:hAnsi="Arial Narrow"/>
          <w:sz w:val="22"/>
        </w:rPr>
        <w:tab/>
      </w:r>
      <w:r w:rsidR="00B640C8" w:rsidRPr="00621053">
        <w:rPr>
          <w:rFonts w:ascii="Arial Narrow" w:hAnsi="Arial Narrow"/>
          <w:sz w:val="22"/>
        </w:rPr>
        <w:tab/>
      </w:r>
      <w:r w:rsidR="00B640C8" w:rsidRPr="00621053">
        <w:rPr>
          <w:rFonts w:ascii="Arial Narrow" w:hAnsi="Arial Narrow"/>
          <w:sz w:val="22"/>
        </w:rPr>
        <w:tab/>
      </w:r>
      <w:r w:rsidR="00B640C8" w:rsidRPr="002C5FB3">
        <w:rPr>
          <w:rFonts w:ascii="Arial Narrow" w:hAnsi="Arial Narrow"/>
          <w:sz w:val="22"/>
        </w:rPr>
        <w:t xml:space="preserve">   </w:t>
      </w:r>
      <w:r w:rsidR="00B640C8" w:rsidRPr="009C1013">
        <w:rPr>
          <w:rFonts w:ascii="Arial Narrow" w:hAnsi="Arial Narrow"/>
          <w:sz w:val="22"/>
        </w:rPr>
        <w:tab/>
      </w:r>
      <w:r w:rsidR="00B640C8" w:rsidRPr="002C5FB3">
        <w:rPr>
          <w:rFonts w:ascii="Arial Narrow" w:hAnsi="Arial Narrow"/>
          <w:sz w:val="22"/>
        </w:rPr>
        <w:t xml:space="preserve">   </w:t>
      </w:r>
      <w:r w:rsidR="00B640C8">
        <w:rPr>
          <w:rFonts w:ascii="Arial Narrow" w:hAnsi="Arial Narrow"/>
          <w:sz w:val="22"/>
        </w:rPr>
        <w:tab/>
        <w:t xml:space="preserve">      </w:t>
      </w:r>
      <w:r w:rsidR="00B640C8" w:rsidRPr="002C5FB3">
        <w:rPr>
          <w:rFonts w:ascii="Arial Narrow" w:hAnsi="Arial Narrow"/>
          <w:sz w:val="22"/>
        </w:rPr>
        <w:t xml:space="preserve">       </w:t>
      </w:r>
      <w:r w:rsidR="000633CE">
        <w:rPr>
          <w:noProof/>
        </w:rPr>
        <w:drawing>
          <wp:inline distT="0" distB="0" distL="0" distR="0" wp14:anchorId="0AFC4FCE" wp14:editId="0C8E368E">
            <wp:extent cx="755015" cy="605790"/>
            <wp:effectExtent l="19050" t="0" r="6985" b="0"/>
            <wp:docPr id="1" name="Εικόνα 1" descr="Kinima Polit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inima Politon 2"/>
                    <pic:cNvPicPr>
                      <a:picLocks noChangeAspect="1" noChangeArrowheads="1"/>
                    </pic:cNvPicPr>
                  </pic:nvPicPr>
                  <pic:blipFill>
                    <a:blip r:embed="rId12"/>
                    <a:srcRect/>
                    <a:stretch>
                      <a:fillRect/>
                    </a:stretch>
                  </pic:blipFill>
                  <pic:spPr bwMode="auto">
                    <a:xfrm>
                      <a:off x="0" y="0"/>
                      <a:ext cx="755015" cy="605790"/>
                    </a:xfrm>
                    <a:prstGeom prst="rect">
                      <a:avLst/>
                    </a:prstGeom>
                    <a:noFill/>
                    <a:ln w="9525">
                      <a:noFill/>
                      <a:miter lim="800000"/>
                      <a:headEnd/>
                      <a:tailEnd/>
                    </a:ln>
                  </pic:spPr>
                </pic:pic>
              </a:graphicData>
            </a:graphic>
          </wp:inline>
        </w:drawing>
      </w:r>
      <w:r w:rsidR="00B640C8" w:rsidRPr="002C5FB3">
        <w:rPr>
          <w:rFonts w:ascii="Arial Narrow" w:hAnsi="Arial Narrow"/>
          <w:sz w:val="22"/>
        </w:rPr>
        <w:t xml:space="preserve"> </w:t>
      </w:r>
      <w:r w:rsidR="00B640C8">
        <w:rPr>
          <w:rFonts w:ascii="Arial Narrow" w:hAnsi="Arial Narrow"/>
          <w:sz w:val="22"/>
        </w:rPr>
        <w:tab/>
      </w:r>
      <w:r w:rsidR="00B640C8" w:rsidRPr="002C5FB3">
        <w:rPr>
          <w:rFonts w:ascii="Arial Narrow" w:hAnsi="Arial Narrow"/>
          <w:sz w:val="22"/>
        </w:rPr>
        <w:t xml:space="preserve"> </w:t>
      </w:r>
    </w:p>
    <w:p w:rsidR="00B640C8" w:rsidRDefault="00D10C19" w:rsidP="00527926">
      <w:pPr>
        <w:pBdr>
          <w:top w:val="single" w:sz="4" w:space="1" w:color="auto"/>
        </w:pBdr>
        <w:spacing w:line="360" w:lineRule="auto"/>
        <w:jc w:val="center"/>
        <w:rPr>
          <w:rFonts w:ascii="Tahoma" w:hAnsi="Tahoma" w:cs="Tahoma"/>
          <w:b/>
          <w:color w:val="0000FF"/>
        </w:rPr>
      </w:pPr>
      <w:r>
        <w:rPr>
          <w:rFonts w:ascii="Tahoma" w:hAnsi="Tahoma" w:cs="Tahoma"/>
          <w:b/>
          <w:color w:val="0000FF"/>
        </w:rPr>
        <w:t xml:space="preserve">ΕΞΑΜΗΝΙΑΙΟ </w:t>
      </w:r>
      <w:r w:rsidR="00B640C8" w:rsidRPr="00B429EE">
        <w:rPr>
          <w:rFonts w:ascii="Tahoma" w:hAnsi="Tahoma" w:cs="Tahoma"/>
          <w:b/>
          <w:color w:val="0000FF"/>
        </w:rPr>
        <w:t xml:space="preserve">ΔΕΛΤΙΟ </w:t>
      </w:r>
      <w:r w:rsidR="005713D0">
        <w:rPr>
          <w:rFonts w:ascii="Tahoma" w:hAnsi="Tahoma" w:cs="Tahoma"/>
          <w:b/>
          <w:color w:val="0000FF"/>
        </w:rPr>
        <w:t>ΟΙΚΟΝΟΜΙΚΟΥ ΚΛΙΜΑΤΟΣ</w:t>
      </w:r>
      <w:r w:rsidR="001B1D80">
        <w:rPr>
          <w:rFonts w:ascii="Tahoma" w:hAnsi="Tahoma" w:cs="Tahoma"/>
          <w:b/>
          <w:color w:val="0000FF"/>
        </w:rPr>
        <w:t xml:space="preserve"> ΜΙΚΡΟΜΕΣΑΙΩΝ ΕΠΙΧΕΙΡΗΣΕΩΝ</w:t>
      </w:r>
      <w:r w:rsidR="001C038D">
        <w:rPr>
          <w:rFonts w:ascii="Tahoma" w:hAnsi="Tahoma" w:cs="Tahoma"/>
          <w:b/>
          <w:color w:val="0000FF"/>
        </w:rPr>
        <w:t xml:space="preserve"> </w:t>
      </w:r>
      <w:r w:rsidR="00713691">
        <w:rPr>
          <w:rFonts w:ascii="Tahoma" w:hAnsi="Tahoma" w:cs="Tahoma"/>
          <w:b/>
          <w:color w:val="0000FF"/>
        </w:rPr>
        <w:t>(</w:t>
      </w:r>
      <w:r w:rsidR="00CF768B">
        <w:rPr>
          <w:rFonts w:ascii="Tahoma" w:hAnsi="Tahoma" w:cs="Tahoma"/>
        </w:rPr>
        <w:t>Ν</w:t>
      </w:r>
      <w:r w:rsidR="001B1D80">
        <w:rPr>
          <w:rFonts w:ascii="Tahoma" w:hAnsi="Tahoma" w:cs="Tahoma"/>
        </w:rPr>
        <w:t>ο.</w:t>
      </w:r>
      <w:r w:rsidR="00CF768B">
        <w:rPr>
          <w:rFonts w:ascii="Tahoma" w:hAnsi="Tahoma" w:cs="Tahoma"/>
        </w:rPr>
        <w:t>1</w:t>
      </w:r>
      <w:r w:rsidR="00E667ED">
        <w:rPr>
          <w:rFonts w:ascii="Tahoma" w:hAnsi="Tahoma" w:cs="Tahoma"/>
        </w:rPr>
        <w:t>6</w:t>
      </w:r>
      <w:r w:rsidR="00CF768B">
        <w:rPr>
          <w:rFonts w:ascii="Tahoma" w:hAnsi="Tahoma" w:cs="Tahoma"/>
        </w:rPr>
        <w:t>,</w:t>
      </w:r>
      <w:r w:rsidR="00713691">
        <w:rPr>
          <w:rFonts w:ascii="Tahoma" w:hAnsi="Tahoma" w:cs="Tahoma"/>
        </w:rPr>
        <w:t xml:space="preserve"> </w:t>
      </w:r>
      <w:r w:rsidR="00E667ED">
        <w:rPr>
          <w:rFonts w:ascii="Tahoma" w:hAnsi="Tahoma" w:cs="Tahoma"/>
        </w:rPr>
        <w:t>1</w:t>
      </w:r>
      <w:r w:rsidR="001B1D80" w:rsidRPr="001B1D80">
        <w:rPr>
          <w:rFonts w:ascii="Tahoma" w:hAnsi="Tahoma" w:cs="Tahoma"/>
          <w:vertAlign w:val="superscript"/>
        </w:rPr>
        <w:t>ο</w:t>
      </w:r>
      <w:r w:rsidR="00CF768B">
        <w:rPr>
          <w:rFonts w:ascii="Tahoma" w:hAnsi="Tahoma" w:cs="Tahoma"/>
        </w:rPr>
        <w:t>/</w:t>
      </w:r>
      <w:r w:rsidR="00713691">
        <w:rPr>
          <w:rFonts w:ascii="Tahoma" w:hAnsi="Tahoma" w:cs="Tahoma"/>
        </w:rPr>
        <w:t>201</w:t>
      </w:r>
      <w:r w:rsidR="00E667ED">
        <w:rPr>
          <w:rFonts w:ascii="Tahoma" w:hAnsi="Tahoma" w:cs="Tahoma"/>
        </w:rPr>
        <w:t>7</w:t>
      </w:r>
      <w:r w:rsidR="001C038D">
        <w:rPr>
          <w:rFonts w:ascii="Tahoma" w:hAnsi="Tahoma" w:cs="Tahoma"/>
          <w:b/>
          <w:color w:val="0000FF"/>
        </w:rPr>
        <w:t>)</w:t>
      </w:r>
    </w:p>
    <w:p w:rsidR="00B640C8" w:rsidRPr="00515965" w:rsidRDefault="00B640C8" w:rsidP="00527926">
      <w:pPr>
        <w:pBdr>
          <w:top w:val="single" w:sz="4" w:space="1" w:color="auto"/>
        </w:pBdr>
        <w:spacing w:line="360" w:lineRule="auto"/>
        <w:jc w:val="center"/>
        <w:rPr>
          <w:rFonts w:ascii="Tahoma" w:hAnsi="Tahoma" w:cs="Tahoma"/>
          <w:color w:val="000000"/>
        </w:rPr>
      </w:pPr>
    </w:p>
    <w:p w:rsidR="00B640C8" w:rsidRPr="008410CA" w:rsidRDefault="00B640C8" w:rsidP="00252E0F">
      <w:pPr>
        <w:jc w:val="both"/>
        <w:rPr>
          <w:rFonts w:ascii="Tahoma" w:hAnsi="Tahoma" w:cs="Tahoma"/>
          <w:b/>
          <w:sz w:val="22"/>
          <w:szCs w:val="22"/>
        </w:rPr>
      </w:pPr>
      <w:r w:rsidRPr="00B429EE">
        <w:rPr>
          <w:rFonts w:ascii="Tahoma" w:hAnsi="Tahoma" w:cs="Tahoma"/>
          <w:b/>
          <w:color w:val="0000FF"/>
          <w:sz w:val="22"/>
          <w:szCs w:val="22"/>
        </w:rPr>
        <w:t>Θέμα:</w:t>
      </w:r>
      <w:r w:rsidRPr="00B429EE">
        <w:rPr>
          <w:rFonts w:ascii="Tahoma" w:hAnsi="Tahoma" w:cs="Tahoma"/>
          <w:b/>
          <w:sz w:val="22"/>
          <w:szCs w:val="22"/>
        </w:rPr>
        <w:t xml:space="preserve"> </w:t>
      </w:r>
      <w:r w:rsidRPr="00B5498C">
        <w:rPr>
          <w:rFonts w:ascii="Tahoma" w:hAnsi="Tahoma" w:cs="Tahoma"/>
          <w:b/>
          <w:sz w:val="22"/>
          <w:szCs w:val="22"/>
        </w:rPr>
        <w:t xml:space="preserve">Έρευνα ΙΜΕ ΓΣΕΒΕΕ- </w:t>
      </w:r>
      <w:r w:rsidR="00C60E7E" w:rsidRPr="00B5498C">
        <w:rPr>
          <w:rFonts w:ascii="Tahoma" w:hAnsi="Tahoma" w:cs="Tahoma"/>
          <w:b/>
          <w:sz w:val="22"/>
          <w:szCs w:val="22"/>
        </w:rPr>
        <w:t xml:space="preserve"> </w:t>
      </w:r>
      <w:r w:rsidR="00E667ED">
        <w:rPr>
          <w:rFonts w:ascii="Tahoma" w:hAnsi="Tahoma" w:cs="Tahoma"/>
          <w:b/>
          <w:sz w:val="22"/>
          <w:szCs w:val="22"/>
        </w:rPr>
        <w:t>Φεβρουάριος</w:t>
      </w:r>
      <w:r w:rsidR="00DE7747" w:rsidRPr="00B5498C">
        <w:rPr>
          <w:rFonts w:ascii="Tahoma" w:hAnsi="Tahoma" w:cs="Tahoma"/>
          <w:b/>
          <w:sz w:val="22"/>
          <w:szCs w:val="22"/>
        </w:rPr>
        <w:t xml:space="preserve"> </w:t>
      </w:r>
      <w:r w:rsidR="00E667ED">
        <w:rPr>
          <w:rFonts w:ascii="Tahoma" w:hAnsi="Tahoma" w:cs="Tahoma"/>
          <w:b/>
          <w:sz w:val="22"/>
          <w:szCs w:val="22"/>
        </w:rPr>
        <w:t>2017</w:t>
      </w:r>
      <w:r w:rsidRPr="00B5498C">
        <w:rPr>
          <w:rFonts w:ascii="Tahoma" w:hAnsi="Tahoma" w:cs="Tahoma"/>
          <w:b/>
          <w:sz w:val="22"/>
          <w:szCs w:val="22"/>
        </w:rPr>
        <w:t xml:space="preserve"> - Εξαμηνιαία αποτύπωση οικονομικού κλίματος στις μικρές επιχειρήσεις (0-49 άτομα προσωπικό οι οποίες αποτελούν το 99,6% των ελληνικών επιχειρήσεων)</w:t>
      </w:r>
    </w:p>
    <w:p w:rsidR="00D41C67" w:rsidRDefault="00D41C67" w:rsidP="00AA4058">
      <w:pPr>
        <w:jc w:val="both"/>
        <w:rPr>
          <w:rFonts w:ascii="Tahoma" w:hAnsi="Tahoma" w:cs="Tahoma"/>
          <w:sz w:val="22"/>
          <w:szCs w:val="22"/>
        </w:rPr>
      </w:pPr>
    </w:p>
    <w:p w:rsidR="00E667ED" w:rsidRDefault="00E667ED" w:rsidP="001229F6">
      <w:pPr>
        <w:jc w:val="center"/>
        <w:rPr>
          <w:rFonts w:ascii="Tahoma" w:hAnsi="Tahoma" w:cs="Tahoma"/>
          <w:b/>
          <w:sz w:val="22"/>
          <w:szCs w:val="22"/>
          <w:u w:val="single"/>
        </w:rPr>
      </w:pPr>
    </w:p>
    <w:p w:rsidR="001229F6" w:rsidRDefault="00E33D52" w:rsidP="001229F6">
      <w:pPr>
        <w:jc w:val="center"/>
        <w:rPr>
          <w:rFonts w:ascii="Tahoma" w:hAnsi="Tahoma" w:cs="Tahoma"/>
          <w:b/>
          <w:sz w:val="22"/>
          <w:szCs w:val="22"/>
          <w:u w:val="single"/>
        </w:rPr>
      </w:pPr>
      <w:r>
        <w:rPr>
          <w:rFonts w:ascii="Tahoma" w:hAnsi="Tahoma" w:cs="Tahoma"/>
          <w:b/>
          <w:sz w:val="22"/>
          <w:szCs w:val="22"/>
          <w:u w:val="single"/>
        </w:rPr>
        <w:t>ΣΤΑΘΕΡΗ ΑΛΛΑ</w:t>
      </w:r>
      <w:r w:rsidR="00E667ED">
        <w:rPr>
          <w:rFonts w:ascii="Tahoma" w:hAnsi="Tahoma" w:cs="Tahoma"/>
          <w:b/>
          <w:sz w:val="22"/>
          <w:szCs w:val="22"/>
          <w:u w:val="single"/>
        </w:rPr>
        <w:t xml:space="preserve"> ΚΡΙΣΙΜΗ Η ΚΑΤΑΣΤΑΣΗ ΤΗΣ ΕΛΛΗΝΙΚΗΣ ΟΙΚΟΝΟΜΙΑΣ</w:t>
      </w:r>
    </w:p>
    <w:p w:rsidR="00E667ED" w:rsidRDefault="00E667ED" w:rsidP="001229F6">
      <w:pPr>
        <w:jc w:val="center"/>
        <w:rPr>
          <w:rFonts w:ascii="Tahoma" w:hAnsi="Tahoma" w:cs="Tahoma"/>
          <w:b/>
          <w:sz w:val="22"/>
          <w:szCs w:val="22"/>
          <w:u w:val="single"/>
        </w:rPr>
      </w:pPr>
    </w:p>
    <w:p w:rsidR="001229F6" w:rsidRPr="00E33D52" w:rsidRDefault="00E667ED" w:rsidP="00C930D2">
      <w:pPr>
        <w:jc w:val="center"/>
        <w:rPr>
          <w:rFonts w:ascii="Tahoma" w:hAnsi="Tahoma" w:cs="Tahoma"/>
          <w:b/>
          <w:i/>
          <w:sz w:val="20"/>
          <w:szCs w:val="20"/>
          <w:u w:val="single"/>
        </w:rPr>
      </w:pPr>
      <w:r w:rsidRPr="00E33D52">
        <w:rPr>
          <w:rFonts w:ascii="Tahoma" w:hAnsi="Tahoma" w:cs="Tahoma"/>
          <w:b/>
          <w:i/>
          <w:sz w:val="20"/>
          <w:szCs w:val="20"/>
          <w:u w:val="single"/>
        </w:rPr>
        <w:t>ΜΕΓΑΛΗ Η ΕΚΘΕΣΗ</w:t>
      </w:r>
      <w:r w:rsidR="00E33D52" w:rsidRPr="00E33D52">
        <w:rPr>
          <w:rFonts w:ascii="Tahoma" w:hAnsi="Tahoma" w:cs="Tahoma"/>
          <w:b/>
          <w:i/>
          <w:sz w:val="20"/>
          <w:szCs w:val="20"/>
          <w:u w:val="single"/>
        </w:rPr>
        <w:t xml:space="preserve"> ΤΩΝ ΠΟΛΥ ΜΙΚΡΩΝ ΕΠΙΧΕΙΡΗΣΕΩΝ ΣΤΙΣ ΕΠΙΠΤΩΣΕΙΣ ΤΗΣ ΛΙΤΟΤΗΤΑΣ, ΤΟΥΣ</w:t>
      </w:r>
      <w:r w:rsidRPr="00E33D52">
        <w:rPr>
          <w:rFonts w:ascii="Tahoma" w:hAnsi="Tahoma" w:cs="Tahoma"/>
          <w:b/>
          <w:i/>
          <w:sz w:val="20"/>
          <w:szCs w:val="20"/>
          <w:u w:val="single"/>
        </w:rPr>
        <w:t xml:space="preserve"> ΚΙΝΔΥΝΟΥΣ ΥΠΕΡΧΡΕΩΣΗΣ</w:t>
      </w:r>
      <w:r w:rsidR="00C930D2" w:rsidRPr="00E33D52">
        <w:rPr>
          <w:rFonts w:ascii="Tahoma" w:hAnsi="Tahoma" w:cs="Tahoma"/>
          <w:b/>
          <w:i/>
          <w:sz w:val="20"/>
          <w:szCs w:val="20"/>
          <w:u w:val="single"/>
        </w:rPr>
        <w:t xml:space="preserve"> &amp; </w:t>
      </w:r>
      <w:r w:rsidR="00E33D52" w:rsidRPr="00E33D52">
        <w:rPr>
          <w:rFonts w:ascii="Tahoma" w:hAnsi="Tahoma" w:cs="Tahoma"/>
          <w:b/>
          <w:i/>
          <w:sz w:val="20"/>
          <w:szCs w:val="20"/>
          <w:u w:val="single"/>
        </w:rPr>
        <w:t>ΤΗΝ</w:t>
      </w:r>
      <w:r w:rsidR="00586D44" w:rsidRPr="00E33D52">
        <w:rPr>
          <w:rFonts w:ascii="Tahoma" w:hAnsi="Tahoma" w:cs="Tahoma"/>
          <w:b/>
          <w:i/>
          <w:sz w:val="20"/>
          <w:szCs w:val="20"/>
          <w:u w:val="single"/>
        </w:rPr>
        <w:t xml:space="preserve"> ΑΒΕΒΑΙΟΤΗΤΑ</w:t>
      </w:r>
      <w:r w:rsidR="00C930D2" w:rsidRPr="00E33D52">
        <w:rPr>
          <w:rFonts w:ascii="Tahoma" w:hAnsi="Tahoma" w:cs="Tahoma"/>
          <w:b/>
          <w:i/>
          <w:sz w:val="20"/>
          <w:szCs w:val="20"/>
          <w:u w:val="single"/>
        </w:rPr>
        <w:t xml:space="preserve"> </w:t>
      </w:r>
      <w:r w:rsidR="007516BA">
        <w:rPr>
          <w:rFonts w:ascii="Tahoma" w:hAnsi="Tahoma" w:cs="Tahoma"/>
          <w:b/>
          <w:i/>
          <w:sz w:val="20"/>
          <w:szCs w:val="20"/>
          <w:u w:val="single"/>
        </w:rPr>
        <w:t xml:space="preserve">ΤΗΣ </w:t>
      </w:r>
      <w:r w:rsidR="00C930D2" w:rsidRPr="00E33D52">
        <w:rPr>
          <w:rFonts w:ascii="Tahoma" w:hAnsi="Tahoma" w:cs="Tahoma"/>
          <w:b/>
          <w:i/>
          <w:sz w:val="20"/>
          <w:szCs w:val="20"/>
          <w:u w:val="single"/>
        </w:rPr>
        <w:t>ΟΙΚΟΝΟΜΙΚΗΣ ΠΟΛΙΤΙΚΗΣ</w:t>
      </w:r>
      <w:r w:rsidR="00586D44" w:rsidRPr="00E33D52">
        <w:rPr>
          <w:rFonts w:ascii="Tahoma" w:hAnsi="Tahoma" w:cs="Tahoma"/>
          <w:b/>
          <w:i/>
          <w:sz w:val="20"/>
          <w:szCs w:val="20"/>
          <w:u w:val="single"/>
        </w:rPr>
        <w:t xml:space="preserve"> </w:t>
      </w:r>
    </w:p>
    <w:p w:rsidR="00E667ED" w:rsidRDefault="00E667ED" w:rsidP="001229F6">
      <w:pPr>
        <w:jc w:val="both"/>
        <w:rPr>
          <w:rFonts w:ascii="Tahoma" w:hAnsi="Tahoma" w:cs="Tahoma"/>
          <w:sz w:val="22"/>
          <w:szCs w:val="22"/>
        </w:rPr>
      </w:pPr>
    </w:p>
    <w:p w:rsidR="00E667ED" w:rsidRDefault="00E667ED" w:rsidP="001229F6">
      <w:pPr>
        <w:jc w:val="both"/>
        <w:rPr>
          <w:rFonts w:ascii="Tahoma" w:hAnsi="Tahoma" w:cs="Tahoma"/>
          <w:sz w:val="22"/>
          <w:szCs w:val="22"/>
        </w:rPr>
      </w:pPr>
    </w:p>
    <w:p w:rsidR="00E667ED" w:rsidRDefault="00323B6D" w:rsidP="006826E3">
      <w:pPr>
        <w:ind w:firstLine="720"/>
        <w:jc w:val="both"/>
        <w:rPr>
          <w:rFonts w:ascii="Tahoma" w:hAnsi="Tahoma" w:cs="Tahoma"/>
          <w:sz w:val="22"/>
          <w:szCs w:val="22"/>
        </w:rPr>
      </w:pPr>
      <w:r>
        <w:rPr>
          <w:rFonts w:ascii="Tahoma" w:hAnsi="Tahoma" w:cs="Tahoma"/>
          <w:sz w:val="22"/>
          <w:szCs w:val="22"/>
          <w:lang w:val="en-US"/>
        </w:rPr>
        <w:t>H</w:t>
      </w:r>
      <w:r w:rsidR="00F2444E">
        <w:rPr>
          <w:rFonts w:ascii="Tahoma" w:hAnsi="Tahoma" w:cs="Tahoma"/>
          <w:sz w:val="22"/>
          <w:szCs w:val="22"/>
        </w:rPr>
        <w:t xml:space="preserve"> σχετική σταθεροποίηση που έχει</w:t>
      </w:r>
      <w:r w:rsidR="00E667ED">
        <w:rPr>
          <w:rFonts w:ascii="Tahoma" w:hAnsi="Tahoma" w:cs="Tahoma"/>
          <w:sz w:val="22"/>
          <w:szCs w:val="22"/>
        </w:rPr>
        <w:t xml:space="preserve"> επιτευχθεί στην οικονομία</w:t>
      </w:r>
      <w:r w:rsidRPr="00323B6D">
        <w:rPr>
          <w:rFonts w:ascii="Tahoma" w:hAnsi="Tahoma" w:cs="Tahoma"/>
          <w:sz w:val="22"/>
          <w:szCs w:val="22"/>
        </w:rPr>
        <w:t xml:space="preserve"> </w:t>
      </w:r>
      <w:r>
        <w:rPr>
          <w:rFonts w:ascii="Tahoma" w:hAnsi="Tahoma" w:cs="Tahoma"/>
          <w:sz w:val="22"/>
          <w:szCs w:val="22"/>
        </w:rPr>
        <w:t>την περίοδο από το 2014 έως σήμερα</w:t>
      </w:r>
      <w:r w:rsidR="00E667ED">
        <w:rPr>
          <w:rFonts w:ascii="Tahoma" w:hAnsi="Tahoma" w:cs="Tahoma"/>
          <w:sz w:val="22"/>
          <w:szCs w:val="22"/>
        </w:rPr>
        <w:t xml:space="preserve"> </w:t>
      </w:r>
      <w:r w:rsidR="00F2444E">
        <w:rPr>
          <w:rFonts w:ascii="Tahoma" w:hAnsi="Tahoma" w:cs="Tahoma"/>
          <w:sz w:val="22"/>
          <w:szCs w:val="22"/>
        </w:rPr>
        <w:t>εμπεριέχει σε μεγάλο βαθμό στοιχεία στασιμότητας</w:t>
      </w:r>
      <w:r w:rsidR="0080355F">
        <w:rPr>
          <w:rFonts w:ascii="Tahoma" w:hAnsi="Tahoma" w:cs="Tahoma"/>
          <w:sz w:val="22"/>
          <w:szCs w:val="22"/>
        </w:rPr>
        <w:t xml:space="preserve">, </w:t>
      </w:r>
      <w:r w:rsidR="00F2444E">
        <w:rPr>
          <w:rFonts w:ascii="Tahoma" w:hAnsi="Tahoma" w:cs="Tahoma"/>
          <w:sz w:val="22"/>
          <w:szCs w:val="22"/>
        </w:rPr>
        <w:t>δεδομένου ότι</w:t>
      </w:r>
      <w:r w:rsidR="0080355F">
        <w:rPr>
          <w:rFonts w:ascii="Tahoma" w:hAnsi="Tahoma" w:cs="Tahoma"/>
          <w:sz w:val="22"/>
          <w:szCs w:val="22"/>
        </w:rPr>
        <w:t xml:space="preserve"> ενσωματώνει </w:t>
      </w:r>
      <w:r w:rsidR="00F2444E">
        <w:rPr>
          <w:rFonts w:ascii="Tahoma" w:hAnsi="Tahoma" w:cs="Tahoma"/>
          <w:sz w:val="22"/>
          <w:szCs w:val="22"/>
        </w:rPr>
        <w:t>τόσο κυκλικά όσο και διαρθρωτικά χαρακτηριστικά</w:t>
      </w:r>
      <w:r w:rsidR="00936B7E">
        <w:rPr>
          <w:rFonts w:ascii="Tahoma" w:hAnsi="Tahoma" w:cs="Tahoma"/>
          <w:sz w:val="22"/>
          <w:szCs w:val="22"/>
        </w:rPr>
        <w:t xml:space="preserve"> της κρίσης</w:t>
      </w:r>
      <w:r w:rsidR="0080355F">
        <w:rPr>
          <w:rFonts w:ascii="Tahoma" w:hAnsi="Tahoma" w:cs="Tahoma"/>
          <w:sz w:val="22"/>
          <w:szCs w:val="22"/>
        </w:rPr>
        <w:t>. Αυτό συμβαίνει διότι η πολιτική λιτότητας παραμένει στο επίκεντρο</w:t>
      </w:r>
      <w:r w:rsidR="006826E3">
        <w:rPr>
          <w:rFonts w:ascii="Tahoma" w:hAnsi="Tahoma" w:cs="Tahoma"/>
          <w:sz w:val="22"/>
          <w:szCs w:val="22"/>
        </w:rPr>
        <w:t xml:space="preserve"> της οικονομικής πολιτικής</w:t>
      </w:r>
      <w:r w:rsidR="0080355F">
        <w:rPr>
          <w:rFonts w:ascii="Tahoma" w:hAnsi="Tahoma" w:cs="Tahoma"/>
          <w:sz w:val="22"/>
          <w:szCs w:val="22"/>
        </w:rPr>
        <w:t xml:space="preserve"> ως μηχανισμός «εξυγίανσης» ιδιωτικού και δημόσιου τομέα- παρά την αποτυχία των προηγούμενων ετών</w:t>
      </w:r>
      <w:r w:rsidR="006826E3">
        <w:rPr>
          <w:rFonts w:ascii="Tahoma" w:hAnsi="Tahoma" w:cs="Tahoma"/>
          <w:sz w:val="22"/>
          <w:szCs w:val="22"/>
        </w:rPr>
        <w:t>-</w:t>
      </w:r>
      <w:r w:rsidR="0080355F">
        <w:rPr>
          <w:rFonts w:ascii="Tahoma" w:hAnsi="Tahoma" w:cs="Tahoma"/>
          <w:sz w:val="22"/>
          <w:szCs w:val="22"/>
        </w:rPr>
        <w:t>, ενώ παράλληλα</w:t>
      </w:r>
      <w:r w:rsidR="006826E3">
        <w:rPr>
          <w:rFonts w:ascii="Tahoma" w:hAnsi="Tahoma" w:cs="Tahoma"/>
          <w:sz w:val="22"/>
          <w:szCs w:val="22"/>
        </w:rPr>
        <w:t xml:space="preserve"> αποτρέπονται ή καθυστερούν επενδυτικές πρωτοβουλίες σε δυναμικούς τομείς της ελληνικής οικονομίας, που δυνητικά θα απέδιδαν πολλαπλασιαστικά σε ένα διαφορετικό μακροοικονομικό περιβάλλον, περισσότερο φιλικό στην ανάπτυξη</w:t>
      </w:r>
      <w:r w:rsidR="00936B7E">
        <w:rPr>
          <w:rFonts w:ascii="Tahoma" w:hAnsi="Tahoma" w:cs="Tahoma"/>
          <w:sz w:val="22"/>
          <w:szCs w:val="22"/>
        </w:rPr>
        <w:t>.</w:t>
      </w:r>
      <w:r w:rsidR="00586D44">
        <w:rPr>
          <w:rFonts w:ascii="Tahoma" w:hAnsi="Tahoma" w:cs="Tahoma"/>
          <w:sz w:val="22"/>
          <w:szCs w:val="22"/>
        </w:rPr>
        <w:t xml:space="preserve"> Επιπρόσθετα, η αβεβαιότητα της συγκυρίας ως προς </w:t>
      </w:r>
      <w:r w:rsidR="00F2444E">
        <w:rPr>
          <w:rFonts w:ascii="Tahoma" w:hAnsi="Tahoma" w:cs="Tahoma"/>
          <w:sz w:val="22"/>
          <w:szCs w:val="22"/>
        </w:rPr>
        <w:t xml:space="preserve">τα </w:t>
      </w:r>
      <w:r w:rsidR="00586D44">
        <w:rPr>
          <w:rFonts w:ascii="Tahoma" w:hAnsi="Tahoma" w:cs="Tahoma"/>
          <w:sz w:val="22"/>
          <w:szCs w:val="22"/>
        </w:rPr>
        <w:t xml:space="preserve">αποτελέσματα της διαπραγμάτευσης επιτείνει τους φόβους και τους κινδύνους, οι οποίοι </w:t>
      </w:r>
      <w:r w:rsidR="00C930D2">
        <w:rPr>
          <w:rFonts w:ascii="Tahoma" w:hAnsi="Tahoma" w:cs="Tahoma"/>
          <w:sz w:val="22"/>
          <w:szCs w:val="22"/>
        </w:rPr>
        <w:t>καθίστανται</w:t>
      </w:r>
      <w:r w:rsidR="00586D44">
        <w:rPr>
          <w:rFonts w:ascii="Tahoma" w:hAnsi="Tahoma" w:cs="Tahoma"/>
          <w:sz w:val="22"/>
          <w:szCs w:val="22"/>
        </w:rPr>
        <w:t xml:space="preserve"> μεγαλύτεροι για τις ευάλωτες μικρές επιχειρήσεις και </w:t>
      </w:r>
      <w:r w:rsidR="00C930D2">
        <w:rPr>
          <w:rFonts w:ascii="Tahoma" w:hAnsi="Tahoma" w:cs="Tahoma"/>
          <w:sz w:val="22"/>
          <w:szCs w:val="22"/>
        </w:rPr>
        <w:t xml:space="preserve">τους </w:t>
      </w:r>
      <w:r w:rsidR="00586D44">
        <w:rPr>
          <w:rFonts w:ascii="Tahoma" w:hAnsi="Tahoma" w:cs="Tahoma"/>
          <w:sz w:val="22"/>
          <w:szCs w:val="22"/>
        </w:rPr>
        <w:t>αυτοαπασχολούμενους.</w:t>
      </w:r>
    </w:p>
    <w:p w:rsidR="009F520E" w:rsidRDefault="009F520E" w:rsidP="001229F6">
      <w:pPr>
        <w:jc w:val="both"/>
        <w:rPr>
          <w:rFonts w:ascii="Tahoma" w:hAnsi="Tahoma" w:cs="Tahoma"/>
          <w:sz w:val="22"/>
          <w:szCs w:val="22"/>
        </w:rPr>
      </w:pPr>
    </w:p>
    <w:p w:rsidR="006826E3" w:rsidRDefault="009F520E" w:rsidP="001229F6">
      <w:pPr>
        <w:jc w:val="both"/>
        <w:rPr>
          <w:rFonts w:ascii="Tahoma" w:hAnsi="Tahoma" w:cs="Tahoma"/>
          <w:sz w:val="22"/>
          <w:szCs w:val="22"/>
        </w:rPr>
      </w:pPr>
      <w:r w:rsidRPr="009F520E">
        <w:rPr>
          <w:rFonts w:ascii="Tahoma" w:hAnsi="Tahoma" w:cs="Tahoma"/>
          <w:sz w:val="22"/>
          <w:szCs w:val="22"/>
        </w:rPr>
        <w:t xml:space="preserve">Η πλήρης εφαρμογή του πρώτου πακέτου </w:t>
      </w:r>
      <w:proofErr w:type="spellStart"/>
      <w:r w:rsidRPr="009F520E">
        <w:rPr>
          <w:rFonts w:ascii="Tahoma" w:hAnsi="Tahoma" w:cs="Tahoma"/>
          <w:sz w:val="22"/>
          <w:szCs w:val="22"/>
        </w:rPr>
        <w:t>υφεσιακών</w:t>
      </w:r>
      <w:proofErr w:type="spellEnd"/>
      <w:r w:rsidRPr="009F520E">
        <w:rPr>
          <w:rFonts w:ascii="Tahoma" w:hAnsi="Tahoma" w:cs="Tahoma"/>
          <w:sz w:val="22"/>
          <w:szCs w:val="22"/>
        </w:rPr>
        <w:t xml:space="preserve"> μέτρων (αύξηση φόρων σε νησιά, </w:t>
      </w:r>
      <w:r w:rsidR="00F2444E">
        <w:rPr>
          <w:rFonts w:ascii="Tahoma" w:hAnsi="Tahoma" w:cs="Tahoma"/>
          <w:sz w:val="22"/>
          <w:szCs w:val="22"/>
        </w:rPr>
        <w:t xml:space="preserve">αύξηση σε </w:t>
      </w:r>
      <w:r w:rsidRPr="009F520E">
        <w:rPr>
          <w:rFonts w:ascii="Tahoma" w:hAnsi="Tahoma" w:cs="Tahoma"/>
          <w:sz w:val="22"/>
          <w:szCs w:val="22"/>
        </w:rPr>
        <w:t>ειδικούς φόρους</w:t>
      </w:r>
      <w:r w:rsidR="00F2444E">
        <w:rPr>
          <w:rFonts w:ascii="Tahoma" w:hAnsi="Tahoma" w:cs="Tahoma"/>
          <w:sz w:val="22"/>
          <w:szCs w:val="22"/>
        </w:rPr>
        <w:t xml:space="preserve"> κατανάλωσης</w:t>
      </w:r>
      <w:r w:rsidRPr="009F520E">
        <w:rPr>
          <w:rFonts w:ascii="Tahoma" w:hAnsi="Tahoma" w:cs="Tahoma"/>
          <w:sz w:val="22"/>
          <w:szCs w:val="22"/>
        </w:rPr>
        <w:t>, αυξημένο</w:t>
      </w:r>
      <w:r w:rsidR="00F2444E">
        <w:rPr>
          <w:rFonts w:ascii="Tahoma" w:hAnsi="Tahoma" w:cs="Tahoma"/>
          <w:sz w:val="22"/>
          <w:szCs w:val="22"/>
        </w:rPr>
        <w:t>ς</w:t>
      </w:r>
      <w:r w:rsidRPr="009F520E">
        <w:rPr>
          <w:rFonts w:ascii="Tahoma" w:hAnsi="Tahoma" w:cs="Tahoma"/>
          <w:sz w:val="22"/>
          <w:szCs w:val="22"/>
        </w:rPr>
        <w:t xml:space="preserve"> φορολογικό</w:t>
      </w:r>
      <w:r w:rsidR="00F2444E">
        <w:rPr>
          <w:rFonts w:ascii="Tahoma" w:hAnsi="Tahoma" w:cs="Tahoma"/>
          <w:sz w:val="22"/>
          <w:szCs w:val="22"/>
        </w:rPr>
        <w:t>ς</w:t>
      </w:r>
      <w:r w:rsidRPr="009F520E">
        <w:rPr>
          <w:rFonts w:ascii="Tahoma" w:hAnsi="Tahoma" w:cs="Tahoma"/>
          <w:sz w:val="22"/>
          <w:szCs w:val="22"/>
        </w:rPr>
        <w:t xml:space="preserve"> συντελεστή</w:t>
      </w:r>
      <w:r w:rsidR="00F2444E">
        <w:rPr>
          <w:rFonts w:ascii="Tahoma" w:hAnsi="Tahoma" w:cs="Tahoma"/>
          <w:sz w:val="22"/>
          <w:szCs w:val="22"/>
        </w:rPr>
        <w:t>ς</w:t>
      </w:r>
      <w:r w:rsidRPr="009F520E">
        <w:rPr>
          <w:rFonts w:ascii="Tahoma" w:hAnsi="Tahoma" w:cs="Tahoma"/>
          <w:sz w:val="22"/>
          <w:szCs w:val="22"/>
        </w:rPr>
        <w:t xml:space="preserve"> κερδών) και η προσδοκία ψήφισης και εφαρμογής ενός δεύτερου επιμηκυνόμενου προγράμματος λιτότητας φαίνεται ότι επιδρά ανασταλτικά στις αναπτυξιακές προοπτικές, γεγονός που ήδη αποτυπώθηκε στην πρόσφατη εκτίμηση της ΕΛΣΤΑΤ για τη μεγέθυνση της ελληνικής οικονομίας (δ’ τρίμηνο του 2016, -1,4%</w:t>
      </w:r>
      <w:r w:rsidR="00F2444E">
        <w:rPr>
          <w:rFonts w:ascii="Tahoma" w:hAnsi="Tahoma" w:cs="Tahoma"/>
          <w:sz w:val="22"/>
          <w:szCs w:val="22"/>
        </w:rPr>
        <w:t xml:space="preserve"> σε σχέση με το αντίστοιχο τρίμηνο του 2015</w:t>
      </w:r>
      <w:r w:rsidRPr="009F520E">
        <w:rPr>
          <w:rFonts w:ascii="Tahoma" w:hAnsi="Tahoma" w:cs="Tahoma"/>
          <w:sz w:val="22"/>
          <w:szCs w:val="22"/>
        </w:rPr>
        <w:t xml:space="preserve">). Αντίστοιχα, δεν αναμένονται θεαματικές μεταβολές στο πρώτο εξάμηνο του 2017, εκτός αν μεσολαβήσουν σημαντικές εξωγενείς κατά βάση, εξελίξεις στην οικονομία. </w:t>
      </w:r>
      <w:r w:rsidR="00F2444E">
        <w:rPr>
          <w:rFonts w:ascii="Tahoma" w:hAnsi="Tahoma" w:cs="Tahoma"/>
          <w:sz w:val="22"/>
          <w:szCs w:val="22"/>
        </w:rPr>
        <w:t>Με τα υφιστάμενα δεδομένα</w:t>
      </w:r>
      <w:r w:rsidRPr="009F520E">
        <w:rPr>
          <w:rFonts w:ascii="Tahoma" w:hAnsi="Tahoma" w:cs="Tahoma"/>
          <w:sz w:val="22"/>
          <w:szCs w:val="22"/>
        </w:rPr>
        <w:t xml:space="preserve">, το σενάριο πρόβλεψης για αύξηση του ΑΕΠ πάνω από 2,5% στο 2017 φαίνεται να μην </w:t>
      </w:r>
      <w:r w:rsidR="00F2444E">
        <w:rPr>
          <w:rFonts w:ascii="Tahoma" w:hAnsi="Tahoma" w:cs="Tahoma"/>
          <w:sz w:val="22"/>
          <w:szCs w:val="22"/>
        </w:rPr>
        <w:t>είναι ρεαλιστικό</w:t>
      </w:r>
      <w:r w:rsidRPr="009F520E">
        <w:rPr>
          <w:rFonts w:ascii="Tahoma" w:hAnsi="Tahoma" w:cs="Tahoma"/>
          <w:sz w:val="22"/>
          <w:szCs w:val="22"/>
        </w:rPr>
        <w:t>.</w:t>
      </w:r>
    </w:p>
    <w:p w:rsidR="006826E3" w:rsidRDefault="006826E3" w:rsidP="001229F6">
      <w:pPr>
        <w:jc w:val="both"/>
        <w:rPr>
          <w:rFonts w:ascii="Tahoma" w:hAnsi="Tahoma" w:cs="Tahoma"/>
          <w:sz w:val="22"/>
          <w:szCs w:val="22"/>
        </w:rPr>
      </w:pPr>
    </w:p>
    <w:p w:rsidR="00E667ED" w:rsidRDefault="00F2444E" w:rsidP="001229F6">
      <w:pPr>
        <w:jc w:val="both"/>
        <w:rPr>
          <w:rFonts w:ascii="Tahoma" w:hAnsi="Tahoma" w:cs="Tahoma"/>
          <w:sz w:val="22"/>
          <w:szCs w:val="22"/>
        </w:rPr>
      </w:pPr>
      <w:r>
        <w:rPr>
          <w:rFonts w:ascii="Tahoma" w:hAnsi="Tahoma" w:cs="Tahoma"/>
          <w:sz w:val="22"/>
          <w:szCs w:val="22"/>
        </w:rPr>
        <w:t>Η επιχειρηματική δραστηριότητα</w:t>
      </w:r>
      <w:r w:rsidR="00936B7E">
        <w:rPr>
          <w:rFonts w:ascii="Tahoma" w:hAnsi="Tahoma" w:cs="Tahoma"/>
          <w:sz w:val="22"/>
          <w:szCs w:val="22"/>
        </w:rPr>
        <w:t xml:space="preserve">, μετά από 7 χρόνια μνημονίων, </w:t>
      </w:r>
      <w:r>
        <w:rPr>
          <w:rFonts w:ascii="Tahoma" w:hAnsi="Tahoma" w:cs="Tahoma"/>
          <w:sz w:val="22"/>
          <w:szCs w:val="22"/>
        </w:rPr>
        <w:t xml:space="preserve">προσαρμόζεται στις προοπτικές </w:t>
      </w:r>
      <w:r w:rsidR="006826E3">
        <w:rPr>
          <w:rFonts w:ascii="Tahoma" w:hAnsi="Tahoma" w:cs="Tahoma"/>
          <w:sz w:val="22"/>
          <w:szCs w:val="22"/>
        </w:rPr>
        <w:t>επανάληψη</w:t>
      </w:r>
      <w:r>
        <w:rPr>
          <w:rFonts w:ascii="Tahoma" w:hAnsi="Tahoma" w:cs="Tahoma"/>
          <w:sz w:val="22"/>
          <w:szCs w:val="22"/>
        </w:rPr>
        <w:t>ς</w:t>
      </w:r>
      <w:r w:rsidR="006826E3">
        <w:rPr>
          <w:rFonts w:ascii="Tahoma" w:hAnsi="Tahoma" w:cs="Tahoma"/>
          <w:sz w:val="22"/>
          <w:szCs w:val="22"/>
        </w:rPr>
        <w:t xml:space="preserve"> ενός ακόμη κύκλου δημοσιονομικής προσαρμογής και λιτότητας, η οποία θα έχει ως ορίζοντα </w:t>
      </w:r>
      <w:r>
        <w:rPr>
          <w:rFonts w:ascii="Tahoma" w:hAnsi="Tahoma" w:cs="Tahoma"/>
          <w:sz w:val="22"/>
          <w:szCs w:val="22"/>
        </w:rPr>
        <w:t>τα επόμενα 3-4 έτη. Σε αυτό το πλαίσιο</w:t>
      </w:r>
      <w:r w:rsidR="00936B7E">
        <w:rPr>
          <w:rFonts w:ascii="Tahoma" w:hAnsi="Tahoma" w:cs="Tahoma"/>
          <w:sz w:val="22"/>
          <w:szCs w:val="22"/>
        </w:rPr>
        <w:t xml:space="preserve">, η επιχειρηματική στρατηγική μετατρέπεται σε στρατηγική επιβίωσης, ακόμη και για εκείνες τις επιχειρήσεις που παρουσιάζουν δυναμισμό και διαθέτουν τις προϋποθέσεις για να αναπτυχθούν περαιτέρω. </w:t>
      </w:r>
      <w:r w:rsidR="006826E3">
        <w:rPr>
          <w:rFonts w:ascii="Tahoma" w:hAnsi="Tahoma" w:cs="Tahoma"/>
          <w:sz w:val="22"/>
          <w:szCs w:val="22"/>
        </w:rPr>
        <w:t xml:space="preserve"> </w:t>
      </w:r>
    </w:p>
    <w:p w:rsidR="00E667ED" w:rsidRDefault="00E667ED" w:rsidP="001229F6">
      <w:pPr>
        <w:jc w:val="both"/>
        <w:rPr>
          <w:rFonts w:ascii="Tahoma" w:hAnsi="Tahoma" w:cs="Tahoma"/>
          <w:sz w:val="22"/>
          <w:szCs w:val="22"/>
        </w:rPr>
      </w:pPr>
    </w:p>
    <w:p w:rsidR="00586D44" w:rsidRDefault="00F2444E" w:rsidP="00586D44">
      <w:pPr>
        <w:jc w:val="both"/>
        <w:rPr>
          <w:rFonts w:ascii="Tahoma" w:hAnsi="Tahoma" w:cs="Tahoma"/>
          <w:sz w:val="22"/>
          <w:szCs w:val="22"/>
        </w:rPr>
      </w:pPr>
      <w:r>
        <w:rPr>
          <w:rFonts w:ascii="Tahoma" w:hAnsi="Tahoma" w:cs="Tahoma"/>
          <w:sz w:val="22"/>
          <w:szCs w:val="22"/>
        </w:rPr>
        <w:lastRenderedPageBreak/>
        <w:t xml:space="preserve">Μολονότι είναι σαφές ότι </w:t>
      </w:r>
      <w:r w:rsidR="00F6136C">
        <w:rPr>
          <w:rFonts w:ascii="Tahoma" w:hAnsi="Tahoma" w:cs="Tahoma"/>
          <w:sz w:val="22"/>
          <w:szCs w:val="22"/>
        </w:rPr>
        <w:t>η έγκαιρη ολοκλήρωση της δεύτερης αξιολόγησης θα συντελέσει στην εξομάλυνση</w:t>
      </w:r>
      <w:r w:rsidR="00E667ED">
        <w:rPr>
          <w:rFonts w:ascii="Tahoma" w:hAnsi="Tahoma" w:cs="Tahoma"/>
          <w:sz w:val="22"/>
          <w:szCs w:val="22"/>
        </w:rPr>
        <w:t xml:space="preserve"> του οικονομικού κλίματος-, τα οφέλη της δεν αναμένεται να διαχυθούν</w:t>
      </w:r>
      <w:r w:rsidR="00F6136C">
        <w:rPr>
          <w:rFonts w:ascii="Tahoma" w:hAnsi="Tahoma" w:cs="Tahoma"/>
          <w:sz w:val="22"/>
          <w:szCs w:val="22"/>
        </w:rPr>
        <w:t xml:space="preserve"> άμεσα</w:t>
      </w:r>
      <w:r w:rsidR="00E667ED">
        <w:rPr>
          <w:rFonts w:ascii="Tahoma" w:hAnsi="Tahoma" w:cs="Tahoma"/>
          <w:sz w:val="22"/>
          <w:szCs w:val="22"/>
        </w:rPr>
        <w:t xml:space="preserve"> στο σύνολο της</w:t>
      </w:r>
      <w:r w:rsidR="005245A1">
        <w:rPr>
          <w:rFonts w:ascii="Tahoma" w:hAnsi="Tahoma" w:cs="Tahoma"/>
          <w:sz w:val="22"/>
          <w:szCs w:val="22"/>
        </w:rPr>
        <w:t xml:space="preserve"> επιχειρηματικής κοινότητας</w:t>
      </w:r>
      <w:r w:rsidR="00E667ED">
        <w:rPr>
          <w:rFonts w:ascii="Tahoma" w:hAnsi="Tahoma" w:cs="Tahoma"/>
          <w:sz w:val="22"/>
          <w:szCs w:val="22"/>
        </w:rPr>
        <w:t xml:space="preserve">. </w:t>
      </w:r>
      <w:r w:rsidR="00F6136C">
        <w:rPr>
          <w:rFonts w:ascii="Tahoma" w:hAnsi="Tahoma" w:cs="Tahoma"/>
          <w:sz w:val="22"/>
          <w:szCs w:val="22"/>
        </w:rPr>
        <w:t>Μάλιστα, π</w:t>
      </w:r>
      <w:r w:rsidR="00E667ED">
        <w:rPr>
          <w:rFonts w:ascii="Tahoma" w:hAnsi="Tahoma" w:cs="Tahoma"/>
          <w:sz w:val="22"/>
          <w:szCs w:val="22"/>
        </w:rPr>
        <w:t>άνω απ</w:t>
      </w:r>
      <w:r w:rsidR="0080355F">
        <w:rPr>
          <w:rFonts w:ascii="Tahoma" w:hAnsi="Tahoma" w:cs="Tahoma"/>
          <w:sz w:val="22"/>
          <w:szCs w:val="22"/>
        </w:rPr>
        <w:t>ό 4</w:t>
      </w:r>
      <w:r w:rsidR="00E667ED">
        <w:rPr>
          <w:rFonts w:ascii="Tahoma" w:hAnsi="Tahoma" w:cs="Tahoma"/>
          <w:sz w:val="22"/>
          <w:szCs w:val="22"/>
        </w:rPr>
        <w:t xml:space="preserve"> στις </w:t>
      </w:r>
      <w:r w:rsidR="0080355F">
        <w:rPr>
          <w:rFonts w:ascii="Tahoma" w:hAnsi="Tahoma" w:cs="Tahoma"/>
          <w:sz w:val="22"/>
          <w:szCs w:val="22"/>
        </w:rPr>
        <w:t>5</w:t>
      </w:r>
      <w:r w:rsidR="00E667ED">
        <w:rPr>
          <w:rFonts w:ascii="Tahoma" w:hAnsi="Tahoma" w:cs="Tahoma"/>
          <w:sz w:val="22"/>
          <w:szCs w:val="22"/>
        </w:rPr>
        <w:t xml:space="preserve"> μικρομεσαίες επιχειρήσεις βρίσκονται εκτεθ</w:t>
      </w:r>
      <w:r w:rsidR="005245A1">
        <w:rPr>
          <w:rFonts w:ascii="Tahoma" w:hAnsi="Tahoma" w:cs="Tahoma"/>
          <w:sz w:val="22"/>
          <w:szCs w:val="22"/>
        </w:rPr>
        <w:t>ε</w:t>
      </w:r>
      <w:r w:rsidR="00E667ED">
        <w:rPr>
          <w:rFonts w:ascii="Tahoma" w:hAnsi="Tahoma" w:cs="Tahoma"/>
          <w:sz w:val="22"/>
          <w:szCs w:val="22"/>
        </w:rPr>
        <w:t xml:space="preserve">ιμένες σε </w:t>
      </w:r>
      <w:r w:rsidR="0080355F">
        <w:rPr>
          <w:rFonts w:ascii="Tahoma" w:hAnsi="Tahoma" w:cs="Tahoma"/>
          <w:sz w:val="22"/>
          <w:szCs w:val="22"/>
        </w:rPr>
        <w:t>πιστωτικούς κινδύνους, παρουσιάζουν κάμψη της οικονομικής δραστηριότητας και λειτουργούν με ορίζοντα συρρίκνωσης και όχι επέκτασης.</w:t>
      </w:r>
      <w:r w:rsidR="009F520E" w:rsidRPr="009F520E">
        <w:t xml:space="preserve"> </w:t>
      </w:r>
      <w:r w:rsidR="009F520E" w:rsidRPr="009F520E">
        <w:rPr>
          <w:rFonts w:ascii="Tahoma" w:hAnsi="Tahoma" w:cs="Tahoma"/>
          <w:sz w:val="22"/>
          <w:szCs w:val="22"/>
        </w:rPr>
        <w:t xml:space="preserve">Ο οικονομικός δυϊσμός που διατρέχει </w:t>
      </w:r>
      <w:r w:rsidR="005245A1">
        <w:rPr>
          <w:rFonts w:ascii="Tahoma" w:hAnsi="Tahoma" w:cs="Tahoma"/>
          <w:sz w:val="22"/>
          <w:szCs w:val="22"/>
        </w:rPr>
        <w:t>το φάσμα</w:t>
      </w:r>
      <w:r w:rsidR="009F520E" w:rsidRPr="009F520E">
        <w:rPr>
          <w:rFonts w:ascii="Tahoma" w:hAnsi="Tahoma" w:cs="Tahoma"/>
          <w:sz w:val="22"/>
          <w:szCs w:val="22"/>
        </w:rPr>
        <w:t xml:space="preserve"> </w:t>
      </w:r>
      <w:r w:rsidR="005245A1">
        <w:rPr>
          <w:rFonts w:ascii="Tahoma" w:hAnsi="Tahoma" w:cs="Tahoma"/>
          <w:sz w:val="22"/>
          <w:szCs w:val="22"/>
        </w:rPr>
        <w:t xml:space="preserve">της </w:t>
      </w:r>
      <w:r w:rsidR="009F520E" w:rsidRPr="009F520E">
        <w:rPr>
          <w:rFonts w:ascii="Tahoma" w:hAnsi="Tahoma" w:cs="Tahoma"/>
          <w:sz w:val="22"/>
          <w:szCs w:val="22"/>
        </w:rPr>
        <w:t>πραγματική</w:t>
      </w:r>
      <w:r w:rsidR="005245A1">
        <w:rPr>
          <w:rFonts w:ascii="Tahoma" w:hAnsi="Tahoma" w:cs="Tahoma"/>
          <w:sz w:val="22"/>
          <w:szCs w:val="22"/>
        </w:rPr>
        <w:t>ς</w:t>
      </w:r>
      <w:r w:rsidR="009F520E" w:rsidRPr="009F520E">
        <w:rPr>
          <w:rFonts w:ascii="Tahoma" w:hAnsi="Tahoma" w:cs="Tahoma"/>
          <w:sz w:val="22"/>
          <w:szCs w:val="22"/>
        </w:rPr>
        <w:t xml:space="preserve"> οικονομία</w:t>
      </w:r>
      <w:r w:rsidR="005245A1">
        <w:rPr>
          <w:rFonts w:ascii="Tahoma" w:hAnsi="Tahoma" w:cs="Tahoma"/>
          <w:sz w:val="22"/>
          <w:szCs w:val="22"/>
        </w:rPr>
        <w:t>ς</w:t>
      </w:r>
      <w:r w:rsidR="009F520E" w:rsidRPr="009F520E">
        <w:rPr>
          <w:rFonts w:ascii="Tahoma" w:hAnsi="Tahoma" w:cs="Tahoma"/>
          <w:sz w:val="22"/>
          <w:szCs w:val="22"/>
        </w:rPr>
        <w:t xml:space="preserve">, έχει προκαλέσει έντονες ανταγωνιστικές πιέσεις προς τις μικρές επιχειρήσεις, ενώ </w:t>
      </w:r>
      <w:r w:rsidR="00B22D61" w:rsidRPr="00295E51">
        <w:rPr>
          <w:rFonts w:ascii="Tahoma" w:hAnsi="Tahoma" w:cs="Tahoma"/>
          <w:sz w:val="22"/>
          <w:szCs w:val="22"/>
        </w:rPr>
        <w:t xml:space="preserve">εδραιώνει τις </w:t>
      </w:r>
      <w:r w:rsidR="00F6136C">
        <w:rPr>
          <w:rFonts w:ascii="Tahoma" w:hAnsi="Tahoma" w:cs="Tahoma"/>
          <w:sz w:val="22"/>
          <w:szCs w:val="22"/>
        </w:rPr>
        <w:t>ευέλικτες</w:t>
      </w:r>
      <w:r w:rsidR="00B22D61" w:rsidRPr="00295E51">
        <w:rPr>
          <w:rFonts w:ascii="Tahoma" w:hAnsi="Tahoma" w:cs="Tahoma"/>
          <w:sz w:val="22"/>
          <w:szCs w:val="22"/>
        </w:rPr>
        <w:t xml:space="preserve"> μορφές εργασίας</w:t>
      </w:r>
      <w:r w:rsidR="00B22D61" w:rsidRPr="009F520E">
        <w:rPr>
          <w:rFonts w:ascii="Tahoma" w:hAnsi="Tahoma" w:cs="Tahoma"/>
          <w:sz w:val="22"/>
          <w:szCs w:val="22"/>
        </w:rPr>
        <w:t xml:space="preserve"> </w:t>
      </w:r>
      <w:r w:rsidR="009F520E" w:rsidRPr="009F520E">
        <w:rPr>
          <w:rFonts w:ascii="Tahoma" w:hAnsi="Tahoma" w:cs="Tahoma"/>
          <w:sz w:val="22"/>
          <w:szCs w:val="22"/>
        </w:rPr>
        <w:t>και τις άτυπες μορφές απασχόλησης και επαγγελματικής δραστηριότητας</w:t>
      </w:r>
      <w:r w:rsidR="009F520E">
        <w:rPr>
          <w:rFonts w:ascii="Tahoma" w:hAnsi="Tahoma" w:cs="Tahoma"/>
          <w:sz w:val="22"/>
          <w:szCs w:val="22"/>
        </w:rPr>
        <w:t>.</w:t>
      </w:r>
    </w:p>
    <w:p w:rsidR="0080355F" w:rsidRDefault="0080355F" w:rsidP="001229F6">
      <w:pPr>
        <w:jc w:val="both"/>
        <w:rPr>
          <w:rFonts w:ascii="Tahoma" w:hAnsi="Tahoma" w:cs="Tahoma"/>
          <w:sz w:val="22"/>
          <w:szCs w:val="22"/>
        </w:rPr>
      </w:pPr>
    </w:p>
    <w:p w:rsidR="00607B5A" w:rsidRDefault="009F520E" w:rsidP="001229F6">
      <w:pPr>
        <w:jc w:val="both"/>
        <w:rPr>
          <w:rFonts w:ascii="Tahoma" w:hAnsi="Tahoma" w:cs="Tahoma"/>
          <w:sz w:val="22"/>
          <w:szCs w:val="22"/>
        </w:rPr>
      </w:pPr>
      <w:r>
        <w:rPr>
          <w:rFonts w:ascii="Tahoma" w:hAnsi="Tahoma" w:cs="Tahoma"/>
          <w:sz w:val="22"/>
          <w:szCs w:val="22"/>
        </w:rPr>
        <w:t xml:space="preserve">Η έρευνα του ΙΜΕ ΓΣΕΒΕΕ καταδεικνύει για άλλη μια φορά ότι </w:t>
      </w:r>
      <w:r w:rsidRPr="009F520E">
        <w:rPr>
          <w:rFonts w:ascii="Tahoma" w:hAnsi="Tahoma" w:cs="Tahoma"/>
          <w:sz w:val="22"/>
          <w:szCs w:val="22"/>
        </w:rPr>
        <w:t>η μειωμένη ρευστότητα, το επενδυτικό κενό και η</w:t>
      </w:r>
      <w:r>
        <w:rPr>
          <w:rFonts w:ascii="Tahoma" w:hAnsi="Tahoma" w:cs="Tahoma"/>
          <w:sz w:val="22"/>
          <w:szCs w:val="22"/>
        </w:rPr>
        <w:t xml:space="preserve"> </w:t>
      </w:r>
      <w:r w:rsidR="00A00FAE">
        <w:rPr>
          <w:rFonts w:ascii="Tahoma" w:hAnsi="Tahoma" w:cs="Tahoma"/>
          <w:sz w:val="22"/>
          <w:szCs w:val="22"/>
        </w:rPr>
        <w:t>ασθενική</w:t>
      </w:r>
      <w:r>
        <w:rPr>
          <w:rFonts w:ascii="Tahoma" w:hAnsi="Tahoma" w:cs="Tahoma"/>
          <w:sz w:val="22"/>
          <w:szCs w:val="22"/>
        </w:rPr>
        <w:t xml:space="preserve"> χρηματοδοτική ικανότητα αποτελούν κυρίαρχα προβλήματα για τις επιχειρήσεις, και συνυφαίνονται με το κεν</w:t>
      </w:r>
      <w:r w:rsidR="00931706">
        <w:rPr>
          <w:rFonts w:ascii="Tahoma" w:hAnsi="Tahoma" w:cs="Tahoma"/>
          <w:sz w:val="22"/>
          <w:szCs w:val="22"/>
        </w:rPr>
        <w:t>ό της τελικής</w:t>
      </w:r>
      <w:r>
        <w:rPr>
          <w:rFonts w:ascii="Tahoma" w:hAnsi="Tahoma" w:cs="Tahoma"/>
          <w:sz w:val="22"/>
          <w:szCs w:val="22"/>
        </w:rPr>
        <w:t xml:space="preserve"> κατανάλωσης που προκλήθηκε από την άμεση ή έμμεση συρρίκνωση των εισοδημάτων</w:t>
      </w:r>
      <w:r w:rsidR="00931706">
        <w:rPr>
          <w:rFonts w:ascii="Tahoma" w:hAnsi="Tahoma" w:cs="Tahoma"/>
          <w:sz w:val="22"/>
          <w:szCs w:val="22"/>
        </w:rPr>
        <w:t xml:space="preserve"> και την απόσυρση του κράτους</w:t>
      </w:r>
      <w:r w:rsidRPr="009F520E">
        <w:rPr>
          <w:rFonts w:ascii="Tahoma" w:hAnsi="Tahoma" w:cs="Tahoma"/>
          <w:sz w:val="22"/>
          <w:szCs w:val="22"/>
        </w:rPr>
        <w:t xml:space="preserve">. Παράλληλα, παραμένει ανεπαρκής η ιδιωτική χρηματοδότηση και απουσιάζουν τα κατάλληλα σύγχρονα χρηματοδοτικά εργαλεία, ενώ, περιορισμένες είναι οι δυνατότητες </w:t>
      </w:r>
      <w:r w:rsidR="00F6136C">
        <w:rPr>
          <w:rFonts w:ascii="Tahoma" w:hAnsi="Tahoma" w:cs="Tahoma"/>
          <w:sz w:val="22"/>
          <w:szCs w:val="22"/>
        </w:rPr>
        <w:t>κινητοποίησης επενδυτικών ροών μέσα από δημόσια προγράμματα επενδύσεων</w:t>
      </w:r>
      <w:r w:rsidRPr="009F520E">
        <w:rPr>
          <w:rFonts w:ascii="Tahoma" w:hAnsi="Tahoma" w:cs="Tahoma"/>
          <w:sz w:val="22"/>
          <w:szCs w:val="22"/>
        </w:rPr>
        <w:t>.</w:t>
      </w:r>
      <w:r>
        <w:rPr>
          <w:rFonts w:ascii="Tahoma" w:hAnsi="Tahoma" w:cs="Tahoma"/>
          <w:sz w:val="22"/>
          <w:szCs w:val="22"/>
        </w:rPr>
        <w:t xml:space="preserve"> </w:t>
      </w:r>
    </w:p>
    <w:p w:rsidR="000D317A" w:rsidRDefault="000D317A" w:rsidP="001229F6">
      <w:pPr>
        <w:jc w:val="both"/>
        <w:rPr>
          <w:rFonts w:ascii="Tahoma" w:hAnsi="Tahoma" w:cs="Tahoma"/>
          <w:sz w:val="22"/>
          <w:szCs w:val="22"/>
        </w:rPr>
      </w:pPr>
    </w:p>
    <w:p w:rsidR="00607B5A" w:rsidRDefault="00607B5A" w:rsidP="001229F6">
      <w:pPr>
        <w:jc w:val="both"/>
        <w:rPr>
          <w:rFonts w:ascii="Tahoma" w:hAnsi="Tahoma" w:cs="Tahoma"/>
          <w:sz w:val="22"/>
          <w:szCs w:val="22"/>
        </w:rPr>
      </w:pPr>
      <w:r>
        <w:rPr>
          <w:rFonts w:ascii="Tahoma" w:hAnsi="Tahoma" w:cs="Tahoma"/>
          <w:sz w:val="22"/>
          <w:szCs w:val="22"/>
        </w:rPr>
        <w:t>Η ομαλή λειτουργία του χρηματοπιστωτικού συστήματος αποτελεί επίσης μια σημαντική παράμετρο για την επαναφορά του οικονομικού κλίματος σε θετική τροχιά.</w:t>
      </w:r>
      <w:r w:rsidRPr="00607B5A">
        <w:t xml:space="preserve"> </w:t>
      </w:r>
      <w:r w:rsidRPr="00607B5A">
        <w:rPr>
          <w:rFonts w:ascii="Tahoma" w:hAnsi="Tahoma" w:cs="Tahoma"/>
          <w:sz w:val="22"/>
          <w:szCs w:val="22"/>
        </w:rPr>
        <w:t>Τα κόκκινα δάνεια προς τις τράπεζες ανέρχονται στα 107,8 δις</w:t>
      </w:r>
      <w:r>
        <w:rPr>
          <w:rFonts w:ascii="Tahoma" w:hAnsi="Tahoma" w:cs="Tahoma"/>
          <w:sz w:val="22"/>
          <w:szCs w:val="22"/>
        </w:rPr>
        <w:t xml:space="preserve"> (</w:t>
      </w:r>
      <w:proofErr w:type="spellStart"/>
      <w:r>
        <w:rPr>
          <w:rFonts w:ascii="Tahoma" w:hAnsi="Tahoma" w:cs="Tahoma"/>
          <w:sz w:val="22"/>
          <w:szCs w:val="22"/>
        </w:rPr>
        <w:t>ΤτΕ</w:t>
      </w:r>
      <w:proofErr w:type="spellEnd"/>
      <w:r w:rsidRPr="00607B5A">
        <w:rPr>
          <w:rFonts w:ascii="Tahoma" w:hAnsi="Tahoma" w:cs="Tahoma"/>
          <w:sz w:val="22"/>
          <w:szCs w:val="22"/>
        </w:rPr>
        <w:t>,</w:t>
      </w:r>
      <w:r>
        <w:rPr>
          <w:rFonts w:ascii="Tahoma" w:hAnsi="Tahoma" w:cs="Tahoma"/>
          <w:sz w:val="22"/>
          <w:szCs w:val="22"/>
        </w:rPr>
        <w:t xml:space="preserve"> Έκθεση Διοικητή 2016)</w:t>
      </w:r>
      <w:r w:rsidRPr="00607B5A">
        <w:rPr>
          <w:rFonts w:ascii="Tahoma" w:hAnsi="Tahoma" w:cs="Tahoma"/>
          <w:sz w:val="22"/>
          <w:szCs w:val="22"/>
        </w:rPr>
        <w:t xml:space="preserve"> ενώ το σύνολο των ληξιπρόθεσμων οφειλών προς εφορία και ασφαλιστικά ταμεία υπερβαίνει τα 120 δις.</w:t>
      </w:r>
      <w:r>
        <w:rPr>
          <w:rFonts w:ascii="Tahoma" w:hAnsi="Tahoma" w:cs="Tahoma"/>
          <w:sz w:val="22"/>
          <w:szCs w:val="22"/>
        </w:rPr>
        <w:t xml:space="preserve"> Αυτό σημαίνει ότι θα πρέπει να επισπευστούν οι πρωτοβουλίες για την αποτελεσματικότερη διαχείριση του ιδιωτικού χρέους (εξωδικαστικός μηχανισμός, κώδικας δεοντολογίας</w:t>
      </w:r>
      <w:r w:rsidR="00906122">
        <w:rPr>
          <w:rFonts w:ascii="Tahoma" w:hAnsi="Tahoma" w:cs="Tahoma"/>
          <w:sz w:val="22"/>
          <w:szCs w:val="22"/>
        </w:rPr>
        <w:t>, επιτάχυνση απονομής δικαιοσύνης), χωρίς επιπρόσθετη γραφειοκρατία, πολύπλοκους μηχανισμούς και αποκλεισμούς επιχειρήσεων.</w:t>
      </w:r>
      <w:r w:rsidRPr="00607B5A">
        <w:rPr>
          <w:rFonts w:ascii="Tahoma" w:hAnsi="Tahoma" w:cs="Tahoma"/>
          <w:sz w:val="22"/>
          <w:szCs w:val="22"/>
        </w:rPr>
        <w:t xml:space="preserve"> </w:t>
      </w:r>
      <w:r>
        <w:rPr>
          <w:rFonts w:ascii="Tahoma" w:hAnsi="Tahoma" w:cs="Tahoma"/>
          <w:sz w:val="22"/>
          <w:szCs w:val="22"/>
        </w:rPr>
        <w:t xml:space="preserve">  </w:t>
      </w:r>
    </w:p>
    <w:p w:rsidR="009F520E" w:rsidRDefault="009F520E" w:rsidP="001229F6">
      <w:pPr>
        <w:jc w:val="both"/>
        <w:rPr>
          <w:rFonts w:ascii="Tahoma" w:hAnsi="Tahoma" w:cs="Tahoma"/>
          <w:sz w:val="22"/>
          <w:szCs w:val="22"/>
        </w:rPr>
      </w:pPr>
    </w:p>
    <w:p w:rsidR="009F520E" w:rsidRDefault="00F510F3" w:rsidP="001229F6">
      <w:pPr>
        <w:jc w:val="both"/>
        <w:rPr>
          <w:rFonts w:ascii="Tahoma" w:hAnsi="Tahoma" w:cs="Tahoma"/>
          <w:sz w:val="22"/>
          <w:szCs w:val="22"/>
        </w:rPr>
      </w:pPr>
      <w:r>
        <w:rPr>
          <w:rFonts w:ascii="Tahoma" w:hAnsi="Tahoma" w:cs="Tahoma"/>
          <w:sz w:val="22"/>
          <w:szCs w:val="22"/>
        </w:rPr>
        <w:t>Αναφορικά με το πρόγραμμα ποσοτικής χαλάρωσης</w:t>
      </w:r>
      <w:r w:rsidR="00931706">
        <w:rPr>
          <w:rFonts w:ascii="Tahoma" w:hAnsi="Tahoma" w:cs="Tahoma"/>
          <w:sz w:val="22"/>
          <w:szCs w:val="22"/>
        </w:rPr>
        <w:t xml:space="preserve"> της </w:t>
      </w:r>
      <w:proofErr w:type="spellStart"/>
      <w:r w:rsidR="00931706">
        <w:rPr>
          <w:rFonts w:ascii="Tahoma" w:hAnsi="Tahoma" w:cs="Tahoma"/>
          <w:sz w:val="22"/>
          <w:szCs w:val="22"/>
        </w:rPr>
        <w:t>Ευρ</w:t>
      </w:r>
      <w:proofErr w:type="spellEnd"/>
      <w:r w:rsidR="00931706">
        <w:rPr>
          <w:rFonts w:ascii="Tahoma" w:hAnsi="Tahoma" w:cs="Tahoma"/>
          <w:sz w:val="22"/>
          <w:szCs w:val="22"/>
        </w:rPr>
        <w:t>. Κεντρικής Τράπεζας</w:t>
      </w:r>
      <w:r>
        <w:rPr>
          <w:rFonts w:ascii="Tahoma" w:hAnsi="Tahoma" w:cs="Tahoma"/>
          <w:sz w:val="22"/>
          <w:szCs w:val="22"/>
        </w:rPr>
        <w:t xml:space="preserve">, εκτιμάται ότι η υπαγωγή των ελληνικών ομολόγων θα αποτελέσει κυρίως ένα σήμα επαναφοράς του αξιόχρεου της οικονομίας, παρά μια ουσιαστική </w:t>
      </w:r>
      <w:r w:rsidR="00DB7CC4">
        <w:rPr>
          <w:rFonts w:ascii="Tahoma" w:hAnsi="Tahoma" w:cs="Tahoma"/>
          <w:sz w:val="22"/>
          <w:szCs w:val="22"/>
        </w:rPr>
        <w:t>παρέμβαση που θα δώσει ώθηση στην πραγματική οικονομία</w:t>
      </w:r>
      <w:r w:rsidR="00931706">
        <w:rPr>
          <w:rFonts w:ascii="Tahoma" w:hAnsi="Tahoma" w:cs="Tahoma"/>
          <w:sz w:val="22"/>
          <w:szCs w:val="22"/>
        </w:rPr>
        <w:t xml:space="preserve"> και τις μικρές επιχειρήσεις</w:t>
      </w:r>
      <w:r w:rsidR="00DB7CC4">
        <w:rPr>
          <w:rFonts w:ascii="Tahoma" w:hAnsi="Tahoma" w:cs="Tahoma"/>
          <w:sz w:val="22"/>
          <w:szCs w:val="22"/>
        </w:rPr>
        <w:t xml:space="preserve">. </w:t>
      </w:r>
      <w:r w:rsidR="00607B5A">
        <w:rPr>
          <w:rFonts w:ascii="Tahoma" w:hAnsi="Tahoma" w:cs="Tahoma"/>
          <w:sz w:val="22"/>
          <w:szCs w:val="22"/>
        </w:rPr>
        <w:t>Ωστόσο, η</w:t>
      </w:r>
      <w:r>
        <w:rPr>
          <w:rFonts w:ascii="Tahoma" w:hAnsi="Tahoma" w:cs="Tahoma"/>
          <w:sz w:val="22"/>
          <w:szCs w:val="22"/>
        </w:rPr>
        <w:t xml:space="preserve"> μακροοικονομική βελτίωση της </w:t>
      </w:r>
      <w:r w:rsidR="00DB7CC4">
        <w:rPr>
          <w:rFonts w:ascii="Tahoma" w:hAnsi="Tahoma" w:cs="Tahoma"/>
          <w:sz w:val="22"/>
          <w:szCs w:val="22"/>
        </w:rPr>
        <w:t xml:space="preserve">θέσης της χώρας αναπόφευκτα συνδέεται με την οριστική μεσοπρόθεσμη διευθέτηση του χρέους, την αλλαγή της ευρωπαϊκής οικονομικής </w:t>
      </w:r>
      <w:r w:rsidR="00906122">
        <w:rPr>
          <w:rFonts w:ascii="Tahoma" w:hAnsi="Tahoma" w:cs="Tahoma"/>
          <w:sz w:val="22"/>
          <w:szCs w:val="22"/>
        </w:rPr>
        <w:t>πολιτικής</w:t>
      </w:r>
      <w:r w:rsidR="00DB7CC4">
        <w:rPr>
          <w:rFonts w:ascii="Tahoma" w:hAnsi="Tahoma" w:cs="Tahoma"/>
          <w:sz w:val="22"/>
          <w:szCs w:val="22"/>
        </w:rPr>
        <w:t xml:space="preserve"> και </w:t>
      </w:r>
      <w:r w:rsidR="00931706">
        <w:rPr>
          <w:rFonts w:ascii="Tahoma" w:hAnsi="Tahoma" w:cs="Tahoma"/>
          <w:sz w:val="22"/>
          <w:szCs w:val="22"/>
        </w:rPr>
        <w:t xml:space="preserve">τον τερματισμό διαφόρων </w:t>
      </w:r>
      <w:r w:rsidR="00607B5A">
        <w:rPr>
          <w:rFonts w:ascii="Tahoma" w:hAnsi="Tahoma" w:cs="Tahoma"/>
          <w:sz w:val="22"/>
          <w:szCs w:val="22"/>
        </w:rPr>
        <w:t xml:space="preserve">ακραίων </w:t>
      </w:r>
      <w:r w:rsidR="00931706">
        <w:rPr>
          <w:rFonts w:ascii="Tahoma" w:hAnsi="Tahoma" w:cs="Tahoma"/>
          <w:sz w:val="22"/>
          <w:szCs w:val="22"/>
        </w:rPr>
        <w:t>σεναρίων</w:t>
      </w:r>
      <w:r w:rsidR="00607B5A">
        <w:rPr>
          <w:rFonts w:ascii="Tahoma" w:hAnsi="Tahoma" w:cs="Tahoma"/>
          <w:sz w:val="22"/>
          <w:szCs w:val="22"/>
        </w:rPr>
        <w:t xml:space="preserve"> για αποπομπή της χώρας απ</w:t>
      </w:r>
      <w:r w:rsidR="00906122">
        <w:rPr>
          <w:rFonts w:ascii="Tahoma" w:hAnsi="Tahoma" w:cs="Tahoma"/>
          <w:sz w:val="22"/>
          <w:szCs w:val="22"/>
        </w:rPr>
        <w:t>ό την ευρωζώνη</w:t>
      </w:r>
      <w:r w:rsidR="00607B5A">
        <w:rPr>
          <w:rFonts w:ascii="Tahoma" w:hAnsi="Tahoma" w:cs="Tahoma"/>
          <w:sz w:val="22"/>
          <w:szCs w:val="22"/>
        </w:rPr>
        <w:t>.</w:t>
      </w:r>
      <w:r w:rsidR="00931706">
        <w:rPr>
          <w:rFonts w:ascii="Tahoma" w:hAnsi="Tahoma" w:cs="Tahoma"/>
          <w:sz w:val="22"/>
          <w:szCs w:val="22"/>
        </w:rPr>
        <w:t xml:space="preserve"> </w:t>
      </w:r>
    </w:p>
    <w:p w:rsidR="009F520E" w:rsidRDefault="009F520E" w:rsidP="001229F6">
      <w:pPr>
        <w:jc w:val="both"/>
        <w:rPr>
          <w:rFonts w:ascii="Tahoma" w:hAnsi="Tahoma" w:cs="Tahoma"/>
          <w:sz w:val="22"/>
          <w:szCs w:val="22"/>
        </w:rPr>
      </w:pPr>
    </w:p>
    <w:p w:rsidR="0080355F" w:rsidRDefault="009F520E" w:rsidP="001229F6">
      <w:pPr>
        <w:jc w:val="both"/>
        <w:rPr>
          <w:rFonts w:ascii="Tahoma" w:hAnsi="Tahoma" w:cs="Tahoma"/>
          <w:sz w:val="22"/>
          <w:szCs w:val="22"/>
        </w:rPr>
      </w:pPr>
      <w:r w:rsidRPr="009F520E">
        <w:rPr>
          <w:rFonts w:ascii="Tahoma" w:hAnsi="Tahoma" w:cs="Tahoma"/>
          <w:sz w:val="22"/>
          <w:szCs w:val="22"/>
        </w:rPr>
        <w:t xml:space="preserve">Σε αυτό το διαπιστωτικό πλαίσιο επανέρχονται στην επικαιρότητα οι θέσεις διεθνών εμπειρογνωμόνων και οικονομικών αναλυτών που διατυπώθηκαν στο παρελθόν, - μάλιστα μερικοί εξ αυτών προέρχονται και από τους κόλπους των επίσημων πιστωτών </w:t>
      </w:r>
      <w:r w:rsidR="001D38C8">
        <w:rPr>
          <w:rFonts w:ascii="Tahoma" w:hAnsi="Tahoma" w:cs="Tahoma"/>
          <w:sz w:val="22"/>
          <w:szCs w:val="22"/>
        </w:rPr>
        <w:t xml:space="preserve">της χώρας </w:t>
      </w:r>
      <w:r w:rsidRPr="009F520E">
        <w:rPr>
          <w:rFonts w:ascii="Tahoma" w:hAnsi="Tahoma" w:cs="Tahoma"/>
          <w:sz w:val="22"/>
          <w:szCs w:val="22"/>
        </w:rPr>
        <w:t xml:space="preserve">(ΔΝΤ, </w:t>
      </w:r>
      <w:r w:rsidR="001D38C8">
        <w:rPr>
          <w:rFonts w:ascii="Tahoma" w:hAnsi="Tahoma" w:cs="Tahoma"/>
          <w:sz w:val="22"/>
          <w:szCs w:val="22"/>
        </w:rPr>
        <w:t xml:space="preserve"> ΕΚΤ, </w:t>
      </w:r>
      <w:r w:rsidRPr="009F520E">
        <w:rPr>
          <w:rFonts w:ascii="Tahoma" w:hAnsi="Tahoma" w:cs="Tahoma"/>
          <w:sz w:val="22"/>
          <w:szCs w:val="22"/>
        </w:rPr>
        <w:t>ευρωπαϊκά ινστιτούτα)-, οι οποίοι είχαν προειδοποιήσει τις πολιτικές ηγεσίες της Ευρώπης, του ΔΝΤ, της ΕΚΤ και τις ελληνικές κυβερνήσεις για την ανάγκη ουσιαστικής αναδιάρθρωσης του χρέους πριν από την έναρξη εφαρμογής των προγραμμάτων προσαρμογής.</w:t>
      </w:r>
      <w:r w:rsidR="00F6136C">
        <w:rPr>
          <w:rFonts w:ascii="Tahoma" w:hAnsi="Tahoma" w:cs="Tahoma"/>
          <w:sz w:val="22"/>
          <w:szCs w:val="22"/>
        </w:rPr>
        <w:t xml:space="preserve"> </w:t>
      </w:r>
      <w:r w:rsidR="001D38C8" w:rsidRPr="003B486D">
        <w:rPr>
          <w:rFonts w:ascii="Tahoma" w:hAnsi="Tahoma" w:cs="Tahoma"/>
          <w:sz w:val="22"/>
          <w:szCs w:val="22"/>
        </w:rPr>
        <w:t>Η ανάγκη αναδιάρθρωσης του δημοσίου χρέους επαναδιατυπώθηκε</w:t>
      </w:r>
      <w:r w:rsidR="00F6136C" w:rsidRPr="003B486D">
        <w:rPr>
          <w:rFonts w:ascii="Tahoma" w:hAnsi="Tahoma" w:cs="Tahoma"/>
          <w:sz w:val="22"/>
          <w:szCs w:val="22"/>
        </w:rPr>
        <w:t xml:space="preserve"> στην </w:t>
      </w:r>
      <w:r w:rsidR="001D38C8" w:rsidRPr="003B486D">
        <w:rPr>
          <w:rFonts w:ascii="Tahoma" w:hAnsi="Tahoma" w:cs="Tahoma"/>
          <w:sz w:val="22"/>
          <w:szCs w:val="22"/>
        </w:rPr>
        <w:t xml:space="preserve">5η </w:t>
      </w:r>
      <w:r w:rsidR="004C67C8" w:rsidRPr="003B486D">
        <w:rPr>
          <w:rFonts w:ascii="Tahoma" w:hAnsi="Tahoma" w:cs="Tahoma"/>
          <w:sz w:val="22"/>
          <w:szCs w:val="22"/>
        </w:rPr>
        <w:t>Ενδιάμεση Έκθεση</w:t>
      </w:r>
      <w:r w:rsidR="001D38C8" w:rsidRPr="003B486D">
        <w:rPr>
          <w:rFonts w:ascii="Tahoma" w:hAnsi="Tahoma" w:cs="Tahoma"/>
          <w:sz w:val="22"/>
          <w:szCs w:val="22"/>
        </w:rPr>
        <w:t xml:space="preserve"> που δημοσιοποιήθηκε πρόσφατα από</w:t>
      </w:r>
      <w:r w:rsidR="004C67C8" w:rsidRPr="003B486D">
        <w:rPr>
          <w:rFonts w:ascii="Tahoma" w:hAnsi="Tahoma" w:cs="Tahoma"/>
          <w:sz w:val="22"/>
          <w:szCs w:val="22"/>
        </w:rPr>
        <w:t xml:space="preserve"> </w:t>
      </w:r>
      <w:r w:rsidR="001D38C8" w:rsidRPr="003B486D">
        <w:rPr>
          <w:rFonts w:ascii="Tahoma" w:hAnsi="Tahoma" w:cs="Tahoma"/>
          <w:sz w:val="22"/>
          <w:szCs w:val="22"/>
        </w:rPr>
        <w:t>το Γραφείο Προϋπολογισμού της Βουλής με τίτλο «Η παγ</w:t>
      </w:r>
      <w:r w:rsidR="001D38C8">
        <w:rPr>
          <w:rFonts w:ascii="Tahoma" w:hAnsi="Tahoma" w:cs="Tahoma"/>
          <w:sz w:val="22"/>
          <w:szCs w:val="22"/>
        </w:rPr>
        <w:t xml:space="preserve">ίδα του χρέους», όπου επιχειρείται να αναλυθεί η αρνητική επίδραση που ασκεί η ανακύκλωση του χρέους στις προοπτικές μεγέθυνσης. </w:t>
      </w:r>
      <w:r w:rsidR="004C67C8">
        <w:rPr>
          <w:rFonts w:ascii="Tahoma" w:hAnsi="Tahoma" w:cs="Tahoma"/>
          <w:sz w:val="22"/>
          <w:szCs w:val="22"/>
        </w:rPr>
        <w:t xml:space="preserve"> </w:t>
      </w:r>
      <w:r w:rsidR="00F6136C">
        <w:rPr>
          <w:rFonts w:ascii="Tahoma" w:hAnsi="Tahoma" w:cs="Tahoma"/>
          <w:sz w:val="22"/>
          <w:szCs w:val="22"/>
        </w:rPr>
        <w:t xml:space="preserve"> </w:t>
      </w:r>
      <w:r w:rsidRPr="009F520E">
        <w:rPr>
          <w:rFonts w:ascii="Tahoma" w:hAnsi="Tahoma" w:cs="Tahoma"/>
          <w:sz w:val="22"/>
          <w:szCs w:val="22"/>
        </w:rPr>
        <w:t xml:space="preserve">Από την αρχή της κρίσης και της υπαγωγής στο μηχανισμό στήριξης, το ΙΜΕ ΓΣΕΒΕΕ είχε αναφερθεί στην ανάγκη έγκαιρης ρύθμισης των δημοσιονομικών υποχρεώσεων σε </w:t>
      </w:r>
      <w:proofErr w:type="spellStart"/>
      <w:r w:rsidRPr="009F520E">
        <w:rPr>
          <w:rFonts w:ascii="Tahoma" w:hAnsi="Tahoma" w:cs="Tahoma"/>
          <w:sz w:val="22"/>
          <w:szCs w:val="22"/>
        </w:rPr>
        <w:t>μεσομακροπρόθεσμο</w:t>
      </w:r>
      <w:proofErr w:type="spellEnd"/>
      <w:r w:rsidRPr="009F520E">
        <w:rPr>
          <w:rFonts w:ascii="Tahoma" w:hAnsi="Tahoma" w:cs="Tahoma"/>
          <w:sz w:val="22"/>
          <w:szCs w:val="22"/>
        </w:rPr>
        <w:t xml:space="preserve"> επίπεδο πριν την εφαρμογή του </w:t>
      </w:r>
      <w:proofErr w:type="spellStart"/>
      <w:r w:rsidRPr="009F520E">
        <w:rPr>
          <w:rFonts w:ascii="Tahoma" w:hAnsi="Tahoma" w:cs="Tahoma"/>
          <w:sz w:val="22"/>
          <w:szCs w:val="22"/>
        </w:rPr>
        <w:t>εμπροσθοβαρούς</w:t>
      </w:r>
      <w:proofErr w:type="spellEnd"/>
      <w:r w:rsidRPr="009F520E">
        <w:rPr>
          <w:rFonts w:ascii="Tahoma" w:hAnsi="Tahoma" w:cs="Tahoma"/>
          <w:sz w:val="22"/>
          <w:szCs w:val="22"/>
        </w:rPr>
        <w:t xml:space="preserve"> προγράμματος </w:t>
      </w:r>
      <w:r w:rsidR="001D38C8">
        <w:rPr>
          <w:rFonts w:ascii="Tahoma" w:hAnsi="Tahoma" w:cs="Tahoma"/>
          <w:sz w:val="22"/>
          <w:szCs w:val="22"/>
        </w:rPr>
        <w:t>προσαρμογής</w:t>
      </w:r>
      <w:r w:rsidRPr="009F520E">
        <w:rPr>
          <w:rFonts w:ascii="Tahoma" w:hAnsi="Tahoma" w:cs="Tahoma"/>
          <w:sz w:val="22"/>
          <w:szCs w:val="22"/>
        </w:rPr>
        <w:t xml:space="preserve">, το οποίο </w:t>
      </w:r>
      <w:r w:rsidR="00F6136C">
        <w:rPr>
          <w:rFonts w:ascii="Tahoma" w:hAnsi="Tahoma" w:cs="Tahoma"/>
          <w:sz w:val="22"/>
          <w:szCs w:val="22"/>
        </w:rPr>
        <w:t>ενώ</w:t>
      </w:r>
      <w:r w:rsidRPr="009F520E">
        <w:rPr>
          <w:rFonts w:ascii="Tahoma" w:hAnsi="Tahoma" w:cs="Tahoma"/>
          <w:sz w:val="22"/>
          <w:szCs w:val="22"/>
        </w:rPr>
        <w:t xml:space="preserve"> </w:t>
      </w:r>
      <w:r w:rsidR="001D38C8">
        <w:rPr>
          <w:rFonts w:ascii="Tahoma" w:hAnsi="Tahoma" w:cs="Tahoma"/>
          <w:sz w:val="22"/>
          <w:szCs w:val="22"/>
        </w:rPr>
        <w:t>επέβαλλε</w:t>
      </w:r>
      <w:r w:rsidRPr="009F520E">
        <w:rPr>
          <w:rFonts w:ascii="Tahoma" w:hAnsi="Tahoma" w:cs="Tahoma"/>
          <w:sz w:val="22"/>
          <w:szCs w:val="22"/>
        </w:rPr>
        <w:t xml:space="preserve"> </w:t>
      </w:r>
      <w:r w:rsidR="001D38C8">
        <w:rPr>
          <w:rFonts w:ascii="Tahoma" w:hAnsi="Tahoma" w:cs="Tahoma"/>
          <w:sz w:val="22"/>
          <w:szCs w:val="22"/>
        </w:rPr>
        <w:t xml:space="preserve">όρους </w:t>
      </w:r>
      <w:r w:rsidRPr="009F520E">
        <w:rPr>
          <w:rFonts w:ascii="Tahoma" w:hAnsi="Tahoma" w:cs="Tahoma"/>
          <w:sz w:val="22"/>
          <w:szCs w:val="22"/>
        </w:rPr>
        <w:t>δημο</w:t>
      </w:r>
      <w:r w:rsidR="00F6136C">
        <w:rPr>
          <w:rFonts w:ascii="Tahoma" w:hAnsi="Tahoma" w:cs="Tahoma"/>
          <w:sz w:val="22"/>
          <w:szCs w:val="22"/>
        </w:rPr>
        <w:t>σιονομικής πειθαρχίας, τελικά</w:t>
      </w:r>
      <w:r w:rsidRPr="009F520E">
        <w:rPr>
          <w:rFonts w:ascii="Tahoma" w:hAnsi="Tahoma" w:cs="Tahoma"/>
          <w:sz w:val="22"/>
          <w:szCs w:val="22"/>
        </w:rPr>
        <w:t xml:space="preserve"> εξουδετέρωσε κάθε επενδυτική προοπτική, ακυρώνοντας ορισμένες θετικές πτυχές του προγράμματος.</w:t>
      </w:r>
    </w:p>
    <w:p w:rsidR="00906122" w:rsidRDefault="00906122" w:rsidP="001229F6">
      <w:pPr>
        <w:jc w:val="both"/>
        <w:rPr>
          <w:rFonts w:ascii="Tahoma" w:hAnsi="Tahoma" w:cs="Tahoma"/>
          <w:sz w:val="22"/>
          <w:szCs w:val="22"/>
        </w:rPr>
      </w:pPr>
    </w:p>
    <w:p w:rsidR="0080355F" w:rsidRDefault="00906122" w:rsidP="001229F6">
      <w:pPr>
        <w:jc w:val="both"/>
        <w:rPr>
          <w:rFonts w:ascii="Tahoma" w:hAnsi="Tahoma" w:cs="Tahoma"/>
          <w:sz w:val="22"/>
          <w:szCs w:val="22"/>
        </w:rPr>
      </w:pPr>
      <w:r>
        <w:rPr>
          <w:rFonts w:ascii="Tahoma" w:hAnsi="Tahoma" w:cs="Tahoma"/>
          <w:sz w:val="22"/>
          <w:szCs w:val="22"/>
        </w:rPr>
        <w:t xml:space="preserve">Το επόμενο διάστημα η κυβέρνηση καλείται να αναλάβει πρωτοβουλίες, στο περιορισμένο δημοσιονομικό </w:t>
      </w:r>
      <w:r w:rsidR="000D317A">
        <w:rPr>
          <w:rFonts w:ascii="Tahoma" w:hAnsi="Tahoma" w:cs="Tahoma"/>
          <w:sz w:val="22"/>
          <w:szCs w:val="22"/>
        </w:rPr>
        <w:t xml:space="preserve">και πολιτικό χώρο που διαθέτει </w:t>
      </w:r>
      <w:r>
        <w:rPr>
          <w:rFonts w:ascii="Tahoma" w:hAnsi="Tahoma" w:cs="Tahoma"/>
          <w:sz w:val="22"/>
          <w:szCs w:val="22"/>
        </w:rPr>
        <w:t xml:space="preserve">ώστε </w:t>
      </w:r>
      <w:r w:rsidRPr="000D317A">
        <w:rPr>
          <w:rFonts w:ascii="Tahoma" w:hAnsi="Tahoma" w:cs="Tahoma"/>
          <w:i/>
          <w:sz w:val="22"/>
          <w:szCs w:val="22"/>
        </w:rPr>
        <w:t xml:space="preserve">α) </w:t>
      </w:r>
      <w:r w:rsidR="00B22D61" w:rsidRPr="000D317A">
        <w:rPr>
          <w:rFonts w:ascii="Tahoma" w:hAnsi="Tahoma" w:cs="Tahoma"/>
          <w:i/>
          <w:sz w:val="22"/>
          <w:szCs w:val="22"/>
        </w:rPr>
        <w:t xml:space="preserve">να </w:t>
      </w:r>
      <w:r w:rsidRPr="000D317A">
        <w:rPr>
          <w:rFonts w:ascii="Tahoma" w:hAnsi="Tahoma" w:cs="Tahoma"/>
          <w:i/>
          <w:sz w:val="22"/>
          <w:szCs w:val="22"/>
        </w:rPr>
        <w:t>μειώσει μεσοπρόθεσμα τη φορολογική επιβάρυνση, ιδιαίτερα στις μικρές επιχειρήσεις β) να διορθώσει ορισμένες στρεβλές πτυχές του νέου ασφαλιστικού, ιδιαίτερα στα μεσαία εισοδηματικά κλιμάκια γ) να θέσει σε λειτουργία ένα αποτελεσματικό πλαίσιο διαχείρισης των κόκκινων δανείων και υποχρεώσεων δ) να αξιοποιήσει όλες τις χρηματοοικονομικές ευκαιρίες ώστε να προκαλέσει νέες επενδύσεις και θέσεις απασχόλησης.</w:t>
      </w:r>
    </w:p>
    <w:p w:rsidR="00607B5A" w:rsidRPr="00607B5A" w:rsidRDefault="00607B5A" w:rsidP="00607B5A">
      <w:pPr>
        <w:rPr>
          <w:rFonts w:ascii="Tahoma" w:hAnsi="Tahoma" w:cs="Tahoma"/>
          <w:sz w:val="22"/>
          <w:szCs w:val="22"/>
        </w:rPr>
      </w:pPr>
      <w:r w:rsidRPr="00607B5A">
        <w:rPr>
          <w:rFonts w:ascii="Tahoma" w:hAnsi="Tahoma" w:cs="Tahoma"/>
          <w:sz w:val="22"/>
          <w:szCs w:val="22"/>
        </w:rPr>
        <w:lastRenderedPageBreak/>
        <w:t>Τα κυριότερα συμπεράσματα της έρευνας του ΙΜΕ ΓΣΕΒΕΕ που έγινε σε συνεργασία με την εταιρεία ΜARC ΑΕ σε πανελλαδικό δε</w:t>
      </w:r>
      <w:r>
        <w:rPr>
          <w:rFonts w:ascii="Tahoma" w:hAnsi="Tahoma" w:cs="Tahoma"/>
          <w:sz w:val="22"/>
          <w:szCs w:val="22"/>
        </w:rPr>
        <w:t>ίγμα 1007</w:t>
      </w:r>
      <w:r w:rsidRPr="00607B5A">
        <w:rPr>
          <w:rFonts w:ascii="Tahoma" w:hAnsi="Tahoma" w:cs="Tahoma"/>
          <w:sz w:val="22"/>
          <w:szCs w:val="22"/>
        </w:rPr>
        <w:t xml:space="preserve"> πολύ μικρών και μικρών επιχειρήσεων (0-49 άτομα προσωπικό), στο διάστημα </w:t>
      </w:r>
      <w:r>
        <w:rPr>
          <w:rFonts w:ascii="Tahoma" w:hAnsi="Tahoma" w:cs="Tahoma"/>
          <w:sz w:val="22"/>
          <w:szCs w:val="22"/>
        </w:rPr>
        <w:t>8 έως 16 Φεβρουαρ</w:t>
      </w:r>
      <w:r w:rsidR="00F2099E">
        <w:rPr>
          <w:rFonts w:ascii="Tahoma" w:hAnsi="Tahoma" w:cs="Tahoma"/>
          <w:sz w:val="22"/>
          <w:szCs w:val="22"/>
        </w:rPr>
        <w:t>ίου 2017</w:t>
      </w:r>
      <w:r w:rsidRPr="00607B5A">
        <w:rPr>
          <w:rFonts w:ascii="Tahoma" w:hAnsi="Tahoma" w:cs="Tahoma"/>
          <w:sz w:val="22"/>
          <w:szCs w:val="22"/>
        </w:rPr>
        <w:t xml:space="preserve"> έχουν ως εξής:</w:t>
      </w:r>
    </w:p>
    <w:p w:rsidR="00522050" w:rsidRDefault="00522050" w:rsidP="001C038D">
      <w:pPr>
        <w:pStyle w:val="aa"/>
        <w:ind w:left="0"/>
        <w:jc w:val="both"/>
        <w:rPr>
          <w:rFonts w:ascii="Arial Black" w:hAnsi="Arial Black" w:cs="Tahoma"/>
          <w:b/>
          <w:i/>
          <w:sz w:val="22"/>
          <w:szCs w:val="22"/>
        </w:rPr>
      </w:pPr>
    </w:p>
    <w:p w:rsidR="00B640C8" w:rsidRPr="001C038D" w:rsidRDefault="00B640C8" w:rsidP="001C038D">
      <w:pPr>
        <w:pStyle w:val="aa"/>
        <w:ind w:left="0"/>
        <w:jc w:val="both"/>
        <w:rPr>
          <w:rFonts w:ascii="Arial Black" w:hAnsi="Arial Black" w:cs="Tahoma"/>
          <w:b/>
          <w:i/>
          <w:color w:val="E36C0A" w:themeColor="accent6" w:themeShade="BF"/>
          <w:sz w:val="22"/>
          <w:szCs w:val="22"/>
        </w:rPr>
      </w:pPr>
      <w:r w:rsidRPr="001C038D">
        <w:rPr>
          <w:rFonts w:ascii="Arial Black" w:hAnsi="Arial Black" w:cs="Tahoma"/>
          <w:b/>
          <w:i/>
          <w:color w:val="E36C0A" w:themeColor="accent6" w:themeShade="BF"/>
          <w:sz w:val="22"/>
          <w:szCs w:val="22"/>
          <w:lang w:val="en-US"/>
        </w:rPr>
        <w:t>A</w:t>
      </w:r>
      <w:r w:rsidRPr="001C038D">
        <w:rPr>
          <w:rFonts w:ascii="Arial Black" w:hAnsi="Arial Black" w:cs="Tahoma"/>
          <w:b/>
          <w:i/>
          <w:color w:val="E36C0A" w:themeColor="accent6" w:themeShade="BF"/>
          <w:sz w:val="22"/>
          <w:szCs w:val="22"/>
        </w:rPr>
        <w:t xml:space="preserve">. </w:t>
      </w:r>
      <w:r w:rsidR="00C36F37" w:rsidRPr="00C36F37">
        <w:rPr>
          <w:rFonts w:ascii="Arial Black" w:hAnsi="Arial Black" w:cs="Tahoma"/>
          <w:b/>
          <w:i/>
          <w:color w:val="E36C0A" w:themeColor="accent6" w:themeShade="BF"/>
          <w:sz w:val="22"/>
          <w:szCs w:val="22"/>
        </w:rPr>
        <w:t>ΓΕΝΙΚΟ ΠΛΑΙΣΙΟ – ΑΠΟΤΙΜΗΣΗ / ΠΡΟΒΛΕΨΕΙΣ</w:t>
      </w:r>
    </w:p>
    <w:p w:rsidR="00C36F37" w:rsidRPr="00C36F37" w:rsidRDefault="00C36F37" w:rsidP="00C36F37">
      <w:pPr>
        <w:pStyle w:val="aa"/>
        <w:numPr>
          <w:ilvl w:val="0"/>
          <w:numId w:val="30"/>
        </w:numPr>
        <w:pBdr>
          <w:top w:val="single" w:sz="4" w:space="2" w:color="auto"/>
          <w:left w:val="single" w:sz="4" w:space="4" w:color="auto"/>
          <w:bottom w:val="single" w:sz="4" w:space="0" w:color="auto"/>
          <w:right w:val="single" w:sz="4" w:space="4" w:color="auto"/>
        </w:pBdr>
        <w:tabs>
          <w:tab w:val="left" w:pos="0"/>
        </w:tabs>
        <w:ind w:left="0" w:firstLine="0"/>
        <w:jc w:val="both"/>
        <w:rPr>
          <w:rFonts w:ascii="Arial Black" w:hAnsi="Arial Black" w:cs="Tahoma"/>
          <w:sz w:val="22"/>
          <w:szCs w:val="22"/>
        </w:rPr>
      </w:pPr>
      <w:r w:rsidRPr="00C36F37">
        <w:rPr>
          <w:rFonts w:ascii="Arial Black" w:hAnsi="Arial Black" w:cs="Tahoma"/>
          <w:sz w:val="22"/>
          <w:szCs w:val="22"/>
        </w:rPr>
        <w:t xml:space="preserve">Η αποτίμηση του </w:t>
      </w:r>
      <w:proofErr w:type="spellStart"/>
      <w:r w:rsidRPr="00C36F37">
        <w:rPr>
          <w:rFonts w:ascii="Arial Black" w:hAnsi="Arial Black" w:cs="Tahoma"/>
          <w:sz w:val="22"/>
          <w:szCs w:val="22"/>
        </w:rPr>
        <w:t>β΄</w:t>
      </w:r>
      <w:proofErr w:type="spellEnd"/>
      <w:r w:rsidRPr="00C36F37">
        <w:rPr>
          <w:rFonts w:ascii="Arial Black" w:hAnsi="Arial Black" w:cs="Tahoma"/>
          <w:sz w:val="22"/>
          <w:szCs w:val="22"/>
        </w:rPr>
        <w:t xml:space="preserve"> εξαμήνου του 2016 ακολουθεί με συνέπεια τα αντίστοιχα πορίσματα της αντίστοιχης έρευνας του προηγούμενου εξαμήνου. Μολονότι ο αρνητικός δείκτης τείνει προς χαμηλότερες τιμές, ο λόγος αρνητικών προς τις θετικές αποτιμήσεις είναι 9:1. Αυτό σημαίνει ότι για κάθε μία επιχείρηση που βελτίωσε της θέση της το προηγούμενο εξάμηνο υπάρχουν 9 επιχειρήσεις για τις οποίες αυτή η θέση έχει επιδεινωθεί. Ο λόγος αυτός είναι ακόμα δυσμενέστερος για τους αυτοαπασχολούμενους (25:1) και για τις επιχειρήσεις του εμπορίου (10:1).</w:t>
      </w:r>
    </w:p>
    <w:p w:rsidR="00C36F37" w:rsidRPr="00C36F37" w:rsidRDefault="00C36F37" w:rsidP="00C36F37">
      <w:pPr>
        <w:pStyle w:val="aa"/>
        <w:numPr>
          <w:ilvl w:val="0"/>
          <w:numId w:val="30"/>
        </w:numPr>
        <w:pBdr>
          <w:top w:val="single" w:sz="4" w:space="2" w:color="auto"/>
          <w:left w:val="single" w:sz="4" w:space="4" w:color="auto"/>
          <w:bottom w:val="single" w:sz="4" w:space="0" w:color="auto"/>
          <w:right w:val="single" w:sz="4" w:space="4" w:color="auto"/>
        </w:pBdr>
        <w:tabs>
          <w:tab w:val="left" w:pos="0"/>
        </w:tabs>
        <w:ind w:left="0" w:firstLine="0"/>
        <w:jc w:val="both"/>
        <w:rPr>
          <w:rFonts w:ascii="Arial Black" w:hAnsi="Arial Black" w:cs="Tahoma"/>
          <w:sz w:val="22"/>
          <w:szCs w:val="22"/>
        </w:rPr>
      </w:pPr>
      <w:r>
        <w:rPr>
          <w:rFonts w:ascii="Arial Black" w:hAnsi="Arial Black" w:cs="Tahoma"/>
          <w:sz w:val="22"/>
          <w:szCs w:val="22"/>
        </w:rPr>
        <w:t xml:space="preserve"> </w:t>
      </w:r>
      <w:r w:rsidRPr="00C36F37">
        <w:rPr>
          <w:rFonts w:ascii="Arial Black" w:hAnsi="Arial Black" w:cs="Tahoma"/>
          <w:sz w:val="22"/>
          <w:szCs w:val="22"/>
        </w:rPr>
        <w:t xml:space="preserve">Οι προσδοκίες σχετικά με την πορεία των επιχειρήσεων για το </w:t>
      </w:r>
      <w:proofErr w:type="spellStart"/>
      <w:r w:rsidRPr="00C36F37">
        <w:rPr>
          <w:rFonts w:ascii="Arial Black" w:hAnsi="Arial Black" w:cs="Tahoma"/>
          <w:sz w:val="22"/>
          <w:szCs w:val="22"/>
        </w:rPr>
        <w:t>α΄</w:t>
      </w:r>
      <w:proofErr w:type="spellEnd"/>
      <w:r w:rsidRPr="00C36F37">
        <w:rPr>
          <w:rFonts w:ascii="Arial Black" w:hAnsi="Arial Black" w:cs="Tahoma"/>
          <w:sz w:val="22"/>
          <w:szCs w:val="22"/>
        </w:rPr>
        <w:t xml:space="preserve"> εξάμηνο του 2017 παρ</w:t>
      </w:r>
      <w:r>
        <w:rPr>
          <w:rFonts w:ascii="Arial Black" w:hAnsi="Arial Black" w:cs="Tahoma"/>
          <w:sz w:val="22"/>
          <w:szCs w:val="22"/>
        </w:rPr>
        <w:t>αμένουν αρνητικές, αφού το 58,8</w:t>
      </w:r>
      <w:r w:rsidRPr="00C36F37">
        <w:rPr>
          <w:rFonts w:ascii="Arial Black" w:hAnsi="Arial Black" w:cs="Tahoma"/>
          <w:sz w:val="22"/>
          <w:szCs w:val="22"/>
        </w:rPr>
        <w:t>% των επιχειρήσεων αναμ</w:t>
      </w:r>
      <w:r>
        <w:rPr>
          <w:rFonts w:ascii="Arial Black" w:hAnsi="Arial Black" w:cs="Tahoma"/>
          <w:sz w:val="22"/>
          <w:szCs w:val="22"/>
        </w:rPr>
        <w:t>ένει επιδείνωση ενώ μόλις το 11</w:t>
      </w:r>
      <w:r w:rsidRPr="00C36F37">
        <w:rPr>
          <w:rFonts w:ascii="Arial Black" w:hAnsi="Arial Black" w:cs="Tahoma"/>
          <w:sz w:val="22"/>
          <w:szCs w:val="22"/>
        </w:rPr>
        <w:t>% των επιχειρήσεων αναμένει βελτίωση. Ωστόσο, μεγαλύτερο βαθμό αισιοδοξίας παρουσιάζουν οι σχετικά νεώτερες σε ηλικία επιχειρήσεις καθώς και οι σχετικά μεγαλύτερες σε μέγεθος ως προς την απασχόληση.</w:t>
      </w:r>
    </w:p>
    <w:p w:rsidR="00500EC9" w:rsidRPr="00C36F37" w:rsidRDefault="00C36F37" w:rsidP="00C36F37">
      <w:pPr>
        <w:pStyle w:val="aa"/>
        <w:numPr>
          <w:ilvl w:val="0"/>
          <w:numId w:val="30"/>
        </w:numPr>
        <w:pBdr>
          <w:top w:val="single" w:sz="4" w:space="2" w:color="auto"/>
          <w:left w:val="single" w:sz="4" w:space="4" w:color="auto"/>
          <w:bottom w:val="single" w:sz="4" w:space="0" w:color="auto"/>
          <w:right w:val="single" w:sz="4" w:space="4" w:color="auto"/>
        </w:pBdr>
        <w:tabs>
          <w:tab w:val="left" w:pos="0"/>
        </w:tabs>
        <w:ind w:left="0" w:firstLine="0"/>
        <w:jc w:val="both"/>
        <w:rPr>
          <w:rFonts w:ascii="Arial Black" w:hAnsi="Arial Black" w:cs="Tahoma"/>
          <w:sz w:val="22"/>
          <w:szCs w:val="22"/>
        </w:rPr>
      </w:pPr>
      <w:r>
        <w:rPr>
          <w:rFonts w:ascii="Arial Black" w:hAnsi="Arial Black" w:cs="Tahoma"/>
          <w:sz w:val="22"/>
          <w:szCs w:val="22"/>
        </w:rPr>
        <w:t xml:space="preserve"> </w:t>
      </w:r>
      <w:r w:rsidRPr="00C36F37">
        <w:rPr>
          <w:rFonts w:ascii="Arial Black" w:hAnsi="Arial Black" w:cs="Tahoma"/>
          <w:sz w:val="22"/>
          <w:szCs w:val="22"/>
        </w:rPr>
        <w:t>Ο δείκτης οικονομικού κλίματος για τις ελληνικές μικρές και πολύ μικρές επιχειρήσεις σε σύγκριση με τους αντίστοιχους δείκτες για την Ευρωπαϊκή Ένωση, τις χώρες του Βορρά και εκείνες του Νότου παρουσιάζει με τρόπο ανάγλυφο τα ιδιαίτερα χαμηλά επίπεδα, στα οποία κυμαίνεται.</w:t>
      </w:r>
      <w:r w:rsidR="00A00FAE" w:rsidRPr="00C36F37">
        <w:rPr>
          <w:rFonts w:ascii="Arial Black" w:hAnsi="Arial Black" w:cs="Tahoma"/>
          <w:sz w:val="22"/>
          <w:szCs w:val="22"/>
        </w:rPr>
        <w:t xml:space="preserve"> </w:t>
      </w:r>
    </w:p>
    <w:p w:rsidR="00063672" w:rsidRDefault="00063672" w:rsidP="001C038D">
      <w:pPr>
        <w:pStyle w:val="aa"/>
        <w:ind w:left="0"/>
        <w:jc w:val="both"/>
        <w:rPr>
          <w:rFonts w:ascii="Arial Black" w:hAnsi="Arial Black" w:cs="Tahoma"/>
          <w:b/>
          <w:i/>
          <w:color w:val="E36C0A" w:themeColor="accent6" w:themeShade="BF"/>
          <w:sz w:val="22"/>
          <w:szCs w:val="22"/>
        </w:rPr>
      </w:pPr>
    </w:p>
    <w:p w:rsidR="001C038D" w:rsidRPr="001B1D80" w:rsidRDefault="000D2D16" w:rsidP="001C038D">
      <w:pPr>
        <w:pStyle w:val="aa"/>
        <w:ind w:left="0"/>
        <w:jc w:val="both"/>
        <w:rPr>
          <w:rFonts w:ascii="Arial Black" w:hAnsi="Arial Black" w:cs="Tahoma"/>
          <w:b/>
          <w:i/>
          <w:color w:val="E36C0A" w:themeColor="accent6" w:themeShade="BF"/>
          <w:sz w:val="22"/>
          <w:szCs w:val="22"/>
        </w:rPr>
      </w:pPr>
      <w:r w:rsidRPr="001B1D80">
        <w:rPr>
          <w:rFonts w:ascii="Arial Black" w:hAnsi="Arial Black" w:cs="Tahoma"/>
          <w:b/>
          <w:i/>
          <w:color w:val="E36C0A" w:themeColor="accent6" w:themeShade="BF"/>
          <w:sz w:val="22"/>
          <w:szCs w:val="22"/>
        </w:rPr>
        <w:t>Β. ΕΠΙΧΕΙΡΗΜΑΤΙΚΗ ΔΡΑΣΤΗΡΙΟΤΗΤΑ</w:t>
      </w:r>
      <w:r w:rsidR="00C36F37">
        <w:rPr>
          <w:rFonts w:ascii="Arial Black" w:hAnsi="Arial Black" w:cs="Tahoma"/>
          <w:b/>
          <w:i/>
          <w:color w:val="E36C0A" w:themeColor="accent6" w:themeShade="BF"/>
          <w:sz w:val="22"/>
          <w:szCs w:val="22"/>
        </w:rPr>
        <w:t>- ΕΠΙ ΜΕΡΟΥΣ ΔΕΙΚΤΕΣ</w:t>
      </w:r>
    </w:p>
    <w:p w:rsid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i/>
          <w:sz w:val="22"/>
          <w:szCs w:val="22"/>
        </w:rPr>
      </w:pPr>
      <w:r w:rsidRPr="00C36F37">
        <w:rPr>
          <w:rFonts w:ascii="Arial Black" w:hAnsi="Arial Black" w:cs="Tahoma"/>
          <w:i/>
          <w:sz w:val="22"/>
          <w:szCs w:val="22"/>
        </w:rPr>
        <w:t>Α. Κύκλος Εργασιών – Ιδιόμορφος Δυϊσμός</w:t>
      </w:r>
    </w:p>
    <w:p w:rsidR="00063672" w:rsidRPr="00C36F37" w:rsidRDefault="00063672"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i/>
          <w:sz w:val="22"/>
          <w:szCs w:val="22"/>
        </w:rPr>
      </w:pPr>
    </w:p>
    <w:p w:rsid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1)</w:t>
      </w:r>
      <w:r w:rsidRPr="00C36F37">
        <w:rPr>
          <w:rFonts w:ascii="Arial Black" w:hAnsi="Arial Black" w:cs="Tahoma"/>
          <w:sz w:val="22"/>
          <w:szCs w:val="22"/>
        </w:rPr>
        <w:t xml:space="preserve"> Κατά το </w:t>
      </w:r>
      <w:proofErr w:type="spellStart"/>
      <w:r w:rsidRPr="00C36F37">
        <w:rPr>
          <w:rFonts w:ascii="Arial Black" w:hAnsi="Arial Black" w:cs="Tahoma"/>
          <w:sz w:val="22"/>
          <w:szCs w:val="22"/>
        </w:rPr>
        <w:t>β΄</w:t>
      </w:r>
      <w:proofErr w:type="spellEnd"/>
      <w:r w:rsidRPr="00C36F37">
        <w:rPr>
          <w:rFonts w:ascii="Arial Black" w:hAnsi="Arial Black" w:cs="Tahoma"/>
          <w:sz w:val="22"/>
          <w:szCs w:val="22"/>
        </w:rPr>
        <w:t xml:space="preserve"> εξάμηνο του 2016 ο κύκλος εργασιών παρουσίασε μείωση για περίπ</w:t>
      </w:r>
      <w:r w:rsidR="00B650D8">
        <w:rPr>
          <w:rFonts w:ascii="Arial Black" w:hAnsi="Arial Black" w:cs="Tahoma"/>
          <w:sz w:val="22"/>
          <w:szCs w:val="22"/>
        </w:rPr>
        <w:t>ου 6 στις 10 επιχειρήσεις (59,8</w:t>
      </w:r>
      <w:r w:rsidRPr="00C36F37">
        <w:rPr>
          <w:rFonts w:ascii="Arial Black" w:hAnsi="Arial Black" w:cs="Tahoma"/>
          <w:sz w:val="22"/>
          <w:szCs w:val="22"/>
        </w:rPr>
        <w:t>%), ενώ μόνο για το 13,4 % των επιχειρήσεων σημειώθηκε αύξηση στον κύκλο εργασιών. Τα επιμέρους στοιχεία αναδεικνύουν έναν ιδιόμορφο δυϊσμό ακόμα και στο εσωτερικό των μικρών και πολύ μικρών επιχειρήσεων. Πιο συγκεκριμένα, αύξηση στον κύ</w:t>
      </w:r>
      <w:r>
        <w:rPr>
          <w:rFonts w:ascii="Arial Black" w:hAnsi="Arial Black" w:cs="Tahoma"/>
          <w:sz w:val="22"/>
          <w:szCs w:val="22"/>
        </w:rPr>
        <w:t>κλο εργασιών παρουσίασε το 20,3</w:t>
      </w:r>
      <w:r w:rsidRPr="00C36F37">
        <w:rPr>
          <w:rFonts w:ascii="Arial Black" w:hAnsi="Arial Black" w:cs="Tahoma"/>
          <w:sz w:val="22"/>
          <w:szCs w:val="22"/>
        </w:rPr>
        <w:t xml:space="preserve">% των νεώτερων σε </w:t>
      </w:r>
      <w:r>
        <w:rPr>
          <w:rFonts w:ascii="Arial Black" w:hAnsi="Arial Black" w:cs="Tahoma"/>
          <w:sz w:val="22"/>
          <w:szCs w:val="22"/>
        </w:rPr>
        <w:t>ηλικία επιχειρήσεων και το 30,6</w:t>
      </w:r>
      <w:r w:rsidRPr="00C36F37">
        <w:rPr>
          <w:rFonts w:ascii="Arial Black" w:hAnsi="Arial Black" w:cs="Tahoma"/>
          <w:sz w:val="22"/>
          <w:szCs w:val="22"/>
        </w:rPr>
        <w:t>% των μεγαλύτερων ως προς τον ετήσιο κύκλο εργασιών (πάνω από 300.000 ευρώ) επιχειρήσεων. Πρέπει να σημειωθεί, όμως, ότι η τελευταία κατηγορία επιχειρήσ</w:t>
      </w:r>
      <w:r>
        <w:rPr>
          <w:rFonts w:ascii="Arial Black" w:hAnsi="Arial Black" w:cs="Tahoma"/>
          <w:sz w:val="22"/>
          <w:szCs w:val="22"/>
        </w:rPr>
        <w:t>εων αποτελεί μόλις το 12</w:t>
      </w:r>
      <w:r w:rsidRPr="00C36F37">
        <w:rPr>
          <w:rFonts w:ascii="Arial Black" w:hAnsi="Arial Black" w:cs="Tahoma"/>
          <w:sz w:val="22"/>
          <w:szCs w:val="22"/>
        </w:rPr>
        <w:t>% περίπου του συνόλου των μικρών και πολύ μικρών επιχειρήσεων. Αντίθετα, για τις μ</w:t>
      </w:r>
      <w:r>
        <w:rPr>
          <w:rFonts w:ascii="Arial Black" w:hAnsi="Arial Black" w:cs="Tahoma"/>
          <w:sz w:val="22"/>
          <w:szCs w:val="22"/>
        </w:rPr>
        <w:t>ισές περίπου επιχειρήσεις (49,1</w:t>
      </w:r>
      <w:r w:rsidRPr="00C36F37">
        <w:rPr>
          <w:rFonts w:ascii="Arial Black" w:hAnsi="Arial Black" w:cs="Tahoma"/>
          <w:sz w:val="22"/>
          <w:szCs w:val="22"/>
        </w:rPr>
        <w:t>%) ο ετήσιος κύκλος εργασιών δεν ξεπερνά τις 50.000 ευρώ.</w:t>
      </w:r>
    </w:p>
    <w:p w:rsidR="00C36F37" w:rsidRP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 xml:space="preserve">2) </w:t>
      </w:r>
      <w:r w:rsidRPr="00C36F37">
        <w:rPr>
          <w:rFonts w:ascii="Arial Black" w:hAnsi="Arial Black" w:cs="Tahoma"/>
          <w:sz w:val="22"/>
          <w:szCs w:val="22"/>
        </w:rPr>
        <w:t>Για τις επιχειρήσεις που παρουσίασαν μείωση στον κύκλο εργασιών τους η μείω</w:t>
      </w:r>
      <w:r>
        <w:rPr>
          <w:rFonts w:ascii="Arial Black" w:hAnsi="Arial Black" w:cs="Tahoma"/>
          <w:sz w:val="22"/>
          <w:szCs w:val="22"/>
        </w:rPr>
        <w:t>ση αυτή ήταν κατά μέσο όρο 17,8</w:t>
      </w:r>
      <w:r w:rsidRPr="00C36F37">
        <w:rPr>
          <w:rFonts w:ascii="Arial Black" w:hAnsi="Arial Black" w:cs="Tahoma"/>
          <w:sz w:val="22"/>
          <w:szCs w:val="22"/>
        </w:rPr>
        <w:t>%.</w:t>
      </w:r>
    </w:p>
    <w:p w:rsidR="001A1C91"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 xml:space="preserve">3) </w:t>
      </w:r>
      <w:r w:rsidRPr="00C36F37">
        <w:rPr>
          <w:rFonts w:ascii="Arial Black" w:hAnsi="Arial Black" w:cs="Tahoma"/>
          <w:sz w:val="22"/>
          <w:szCs w:val="22"/>
        </w:rPr>
        <w:t>Σύμφωνα με τον δείκτη του κύκλου εργασιών που έχει διαμορφώσει το ΙΜΕ για το 2016 η τιμή αυτού του δείκτη ήταν 19,82 όταν το 2010 (έτος βάσης) η τιμή του ίδιου δείκτη ήταν 100. Ο δείκτης αυτό</w:t>
      </w:r>
      <w:r w:rsidR="006A42ED">
        <w:rPr>
          <w:rFonts w:ascii="Arial Black" w:hAnsi="Arial Black" w:cs="Tahoma"/>
          <w:sz w:val="22"/>
          <w:szCs w:val="22"/>
        </w:rPr>
        <w:t>ς</w:t>
      </w:r>
      <w:r w:rsidRPr="00C36F37">
        <w:rPr>
          <w:rFonts w:ascii="Arial Black" w:hAnsi="Arial Black" w:cs="Tahoma"/>
          <w:sz w:val="22"/>
          <w:szCs w:val="22"/>
        </w:rPr>
        <w:t xml:space="preserve"> δείχνει σωρευτική απώλεια στον κύκλο εργασιών για τις μικρές και πολύ μικρές επιχειρήσεις 80 μονάδων. Μολονότι ο ρυθμός μείωσης του δείκτη φαίνεται ότι επιβραδύνεται, δεν θα ήταν υπερβολή εάν κάναμε λόγο για ένα είδος «οικονομικής εθνοκάθαρσης» στο εσωτερικό των μικρών και πολύ μικρών επιχειρήσεων. </w:t>
      </w:r>
      <w:r>
        <w:rPr>
          <w:rFonts w:ascii="Arial Black" w:hAnsi="Arial Black" w:cs="Tahoma"/>
          <w:sz w:val="22"/>
          <w:szCs w:val="22"/>
        </w:rPr>
        <w:t xml:space="preserve">     </w:t>
      </w:r>
    </w:p>
    <w:p w:rsidR="00063672" w:rsidRPr="001A1C91" w:rsidRDefault="001A1C91"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 xml:space="preserve">4) </w:t>
      </w:r>
      <w:r w:rsidRPr="001A1C91">
        <w:rPr>
          <w:rFonts w:ascii="Arial Black" w:hAnsi="Arial Black" w:cs="Tahoma"/>
          <w:sz w:val="22"/>
          <w:szCs w:val="22"/>
        </w:rPr>
        <w:t>Μείωση της ζήτησης και των παραγγελιών</w:t>
      </w:r>
      <w:r>
        <w:rPr>
          <w:rFonts w:ascii="Arial Black" w:hAnsi="Arial Black" w:cs="Tahoma"/>
          <w:sz w:val="22"/>
          <w:szCs w:val="22"/>
        </w:rPr>
        <w:t xml:space="preserve"> καταγράφεται για το 62,4% και  </w:t>
      </w:r>
      <w:r w:rsidRPr="001A1C91">
        <w:rPr>
          <w:rFonts w:ascii="Arial Black" w:hAnsi="Arial Black" w:cs="Tahoma"/>
          <w:sz w:val="22"/>
          <w:szCs w:val="22"/>
        </w:rPr>
        <w:t>65,9% των επιχειρήσεων</w:t>
      </w:r>
      <w:r>
        <w:rPr>
          <w:rFonts w:ascii="Arial Black" w:hAnsi="Arial Black" w:cs="Tahoma"/>
          <w:sz w:val="22"/>
          <w:szCs w:val="22"/>
        </w:rPr>
        <w:t xml:space="preserve"> αντίστοιχα</w:t>
      </w:r>
      <w:r w:rsidRPr="001A1C91">
        <w:rPr>
          <w:rFonts w:ascii="Arial Black" w:hAnsi="Arial Black" w:cs="Tahoma"/>
          <w:sz w:val="22"/>
          <w:szCs w:val="22"/>
        </w:rPr>
        <w:t>.</w:t>
      </w:r>
      <w:r w:rsidRPr="001A1C91">
        <w:rPr>
          <w:rFonts w:ascii="Arial Black" w:hAnsi="Arial Black" w:cs="Tahoma"/>
          <w:i/>
          <w:sz w:val="22"/>
          <w:szCs w:val="22"/>
        </w:rPr>
        <w:t xml:space="preserve">   </w:t>
      </w:r>
    </w:p>
    <w:p w:rsidR="00063672" w:rsidRDefault="00063672"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i/>
          <w:sz w:val="22"/>
          <w:szCs w:val="22"/>
        </w:rPr>
      </w:pPr>
    </w:p>
    <w:p w:rsidR="00C36F37" w:rsidRP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i/>
          <w:sz w:val="22"/>
          <w:szCs w:val="22"/>
        </w:rPr>
      </w:pPr>
      <w:r w:rsidRPr="00C36F37">
        <w:rPr>
          <w:rFonts w:ascii="Arial Black" w:hAnsi="Arial Black" w:cs="Tahoma"/>
          <w:i/>
          <w:sz w:val="22"/>
          <w:szCs w:val="22"/>
        </w:rPr>
        <w:lastRenderedPageBreak/>
        <w:t>Β. Ρευστότητα</w:t>
      </w:r>
    </w:p>
    <w:p w:rsidR="00C36F37" w:rsidRP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 xml:space="preserve">1) </w:t>
      </w:r>
      <w:r w:rsidRPr="00C36F37">
        <w:rPr>
          <w:rFonts w:ascii="Arial Black" w:hAnsi="Arial Black" w:cs="Tahoma"/>
          <w:sz w:val="22"/>
          <w:szCs w:val="22"/>
        </w:rPr>
        <w:t>Ο δείκτης ρευστότητας εξακολουθεί να διατηρείται σε εμφανώς χαμηλά επίπεδα αφού γ</w:t>
      </w:r>
      <w:r>
        <w:rPr>
          <w:rFonts w:ascii="Arial Black" w:hAnsi="Arial Black" w:cs="Tahoma"/>
          <w:sz w:val="22"/>
          <w:szCs w:val="22"/>
        </w:rPr>
        <w:t>ια 7 στις 10 επιχειρήσεις (70,1</w:t>
      </w:r>
      <w:r w:rsidRPr="00C36F37">
        <w:rPr>
          <w:rFonts w:ascii="Arial Black" w:hAnsi="Arial Black" w:cs="Tahoma"/>
          <w:sz w:val="22"/>
          <w:szCs w:val="22"/>
        </w:rPr>
        <w:t>%) η ρευστότητα μειώθ</w:t>
      </w:r>
      <w:r w:rsidR="00FA61B1">
        <w:rPr>
          <w:rFonts w:ascii="Arial Black" w:hAnsi="Arial Black" w:cs="Tahoma"/>
          <w:sz w:val="22"/>
          <w:szCs w:val="22"/>
        </w:rPr>
        <w:t xml:space="preserve">ηκε κατά το </w:t>
      </w:r>
      <w:proofErr w:type="spellStart"/>
      <w:r w:rsidR="00FA61B1">
        <w:rPr>
          <w:rFonts w:ascii="Arial Black" w:hAnsi="Arial Black" w:cs="Tahoma"/>
          <w:sz w:val="22"/>
          <w:szCs w:val="22"/>
        </w:rPr>
        <w:t>β΄</w:t>
      </w:r>
      <w:proofErr w:type="spellEnd"/>
      <w:r w:rsidR="00FA61B1">
        <w:rPr>
          <w:rFonts w:ascii="Arial Black" w:hAnsi="Arial Black" w:cs="Tahoma"/>
          <w:sz w:val="22"/>
          <w:szCs w:val="22"/>
        </w:rPr>
        <w:t xml:space="preserve"> εξάμηνο του 2016.</w:t>
      </w:r>
    </w:p>
    <w:p w:rsidR="00C36F37" w:rsidRP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 xml:space="preserve">2) </w:t>
      </w:r>
      <w:r w:rsidRPr="00C36F37">
        <w:rPr>
          <w:rFonts w:ascii="Arial Black" w:hAnsi="Arial Black" w:cs="Tahoma"/>
          <w:sz w:val="22"/>
          <w:szCs w:val="22"/>
        </w:rPr>
        <w:t>Το πρόβλημα της ρευστότητας γα τις μικρές και πολύ μικρές επιχειρήσεις γίνεται εμφανέστερο εφό</w:t>
      </w:r>
      <w:r>
        <w:rPr>
          <w:rFonts w:ascii="Arial Black" w:hAnsi="Arial Black" w:cs="Tahoma"/>
          <w:sz w:val="22"/>
          <w:szCs w:val="22"/>
        </w:rPr>
        <w:t>σον ληφθεί υπόψη ότι μόνο το 30</w:t>
      </w:r>
      <w:r w:rsidRPr="00C36F37">
        <w:rPr>
          <w:rFonts w:ascii="Arial Black" w:hAnsi="Arial Black" w:cs="Tahoma"/>
          <w:sz w:val="22"/>
          <w:szCs w:val="22"/>
        </w:rPr>
        <w:t>% από αυτές αντλεί τη ρευστότητά του μέσω τραπεζικού δανεισμού. Σύμφωνα με έρευνα που εκπονήθηκε από το ΙΜΕ το 2008 το ποσοστό αυτό για</w:t>
      </w:r>
      <w:r>
        <w:rPr>
          <w:rFonts w:ascii="Arial Black" w:hAnsi="Arial Black" w:cs="Tahoma"/>
          <w:sz w:val="22"/>
          <w:szCs w:val="22"/>
        </w:rPr>
        <w:t xml:space="preserve"> την προ κρίσης περίοδο ήταν 48</w:t>
      </w:r>
      <w:r w:rsidRPr="00C36F37">
        <w:rPr>
          <w:rFonts w:ascii="Arial Black" w:hAnsi="Arial Black" w:cs="Tahoma"/>
          <w:sz w:val="22"/>
          <w:szCs w:val="22"/>
        </w:rPr>
        <w:t>%. Αυτό σημαίνει ότι οι μικρές και πολύ μικρές επιχειρήσεις που εξασφαλίζουν ρευστότητα μέσω του τραπεζι</w:t>
      </w:r>
      <w:r>
        <w:rPr>
          <w:rFonts w:ascii="Arial Black" w:hAnsi="Arial Black" w:cs="Tahoma"/>
          <w:sz w:val="22"/>
          <w:szCs w:val="22"/>
        </w:rPr>
        <w:t>κού δανεισμού μειώθηκαν κατά 50</w:t>
      </w:r>
      <w:r w:rsidRPr="00C36F37">
        <w:rPr>
          <w:rFonts w:ascii="Arial Black" w:hAnsi="Arial Black" w:cs="Tahoma"/>
          <w:sz w:val="22"/>
          <w:szCs w:val="22"/>
        </w:rPr>
        <w:t>% περίπου.</w:t>
      </w:r>
    </w:p>
    <w:p w:rsidR="00C36F37" w:rsidRP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p>
    <w:p w:rsidR="00C36F37" w:rsidRP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i/>
          <w:sz w:val="22"/>
          <w:szCs w:val="22"/>
        </w:rPr>
      </w:pPr>
      <w:r w:rsidRPr="00C36F37">
        <w:rPr>
          <w:rFonts w:ascii="Arial Black" w:hAnsi="Arial Black" w:cs="Tahoma"/>
          <w:i/>
          <w:sz w:val="22"/>
          <w:szCs w:val="22"/>
        </w:rPr>
        <w:t>Γ. Επενδύσεις</w:t>
      </w:r>
    </w:p>
    <w:p w:rsidR="00C36F37" w:rsidRP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 xml:space="preserve">1) </w:t>
      </w:r>
      <w:r w:rsidRPr="00C36F37">
        <w:rPr>
          <w:rFonts w:ascii="Arial Black" w:hAnsi="Arial Black" w:cs="Tahoma"/>
          <w:sz w:val="22"/>
          <w:szCs w:val="22"/>
        </w:rPr>
        <w:t xml:space="preserve">Η </w:t>
      </w:r>
      <w:r w:rsidR="007B0DE9">
        <w:rPr>
          <w:rFonts w:ascii="Arial Black" w:hAnsi="Arial Black" w:cs="Tahoma"/>
          <w:sz w:val="22"/>
          <w:szCs w:val="22"/>
        </w:rPr>
        <w:t>δραματική</w:t>
      </w:r>
      <w:r w:rsidRPr="00C36F37">
        <w:rPr>
          <w:rFonts w:ascii="Arial Black" w:hAnsi="Arial Black" w:cs="Tahoma"/>
          <w:sz w:val="22"/>
          <w:szCs w:val="22"/>
        </w:rPr>
        <w:t xml:space="preserve"> κατάσταση ως προς τη ρευστότητα επηρέασε αρνητικά και τον δείκτη της επενδυτικής δραστηριότητας κατά το β</w:t>
      </w:r>
      <w:r w:rsidR="00063672">
        <w:rPr>
          <w:rFonts w:ascii="Arial Black" w:hAnsi="Arial Black" w:cs="Tahoma"/>
          <w:sz w:val="22"/>
          <w:szCs w:val="22"/>
        </w:rPr>
        <w:t>’</w:t>
      </w:r>
      <w:r w:rsidRPr="00C36F37">
        <w:rPr>
          <w:rFonts w:ascii="Arial Black" w:hAnsi="Arial Black" w:cs="Tahoma"/>
          <w:sz w:val="22"/>
          <w:szCs w:val="22"/>
        </w:rPr>
        <w:t xml:space="preserve"> εξ</w:t>
      </w:r>
      <w:r>
        <w:rPr>
          <w:rFonts w:ascii="Arial Black" w:hAnsi="Arial Black" w:cs="Tahoma"/>
          <w:sz w:val="22"/>
          <w:szCs w:val="22"/>
        </w:rPr>
        <w:t>άμηνο του 2016 αφού μόνο το 7,7</w:t>
      </w:r>
      <w:r w:rsidRPr="00C36F37">
        <w:rPr>
          <w:rFonts w:ascii="Arial Black" w:hAnsi="Arial Black" w:cs="Tahoma"/>
          <w:sz w:val="22"/>
          <w:szCs w:val="22"/>
        </w:rPr>
        <w:t>% των επιχειρήσεων αύξησε τις επενδυτικές τους δαπάνες</w:t>
      </w:r>
      <w:r w:rsidR="00063672">
        <w:rPr>
          <w:rFonts w:ascii="Arial Black" w:hAnsi="Arial Black" w:cs="Tahoma"/>
          <w:sz w:val="22"/>
          <w:szCs w:val="22"/>
        </w:rPr>
        <w:t>,</w:t>
      </w:r>
      <w:r w:rsidRPr="00C36F37">
        <w:rPr>
          <w:rFonts w:ascii="Arial Black" w:hAnsi="Arial Black" w:cs="Tahoma"/>
          <w:sz w:val="22"/>
          <w:szCs w:val="22"/>
        </w:rPr>
        <w:t xml:space="preserve"> ενώ για πάνω από το έ</w:t>
      </w:r>
      <w:r>
        <w:rPr>
          <w:rFonts w:ascii="Arial Black" w:hAnsi="Arial Black" w:cs="Tahoma"/>
          <w:sz w:val="22"/>
          <w:szCs w:val="22"/>
        </w:rPr>
        <w:t>να τρίτο των επιχειρήσεων (34,7</w:t>
      </w:r>
      <w:r w:rsidRPr="00C36F37">
        <w:rPr>
          <w:rFonts w:ascii="Arial Black" w:hAnsi="Arial Black" w:cs="Tahoma"/>
          <w:sz w:val="22"/>
          <w:szCs w:val="22"/>
        </w:rPr>
        <w:t xml:space="preserve">%) σημειώθηκε </w:t>
      </w:r>
      <w:proofErr w:type="spellStart"/>
      <w:r w:rsidRPr="00C36F37">
        <w:rPr>
          <w:rFonts w:ascii="Arial Black" w:hAnsi="Arial Black" w:cs="Tahoma"/>
          <w:sz w:val="22"/>
          <w:szCs w:val="22"/>
        </w:rPr>
        <w:t>αποεπένδυση</w:t>
      </w:r>
      <w:proofErr w:type="spellEnd"/>
      <w:r w:rsidRPr="00C36F37">
        <w:rPr>
          <w:rFonts w:ascii="Arial Black" w:hAnsi="Arial Black" w:cs="Tahoma"/>
          <w:sz w:val="22"/>
          <w:szCs w:val="22"/>
        </w:rPr>
        <w:t xml:space="preserve">.   </w:t>
      </w:r>
    </w:p>
    <w:p w:rsidR="00C36F37" w:rsidRP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 xml:space="preserve">2) </w:t>
      </w:r>
      <w:r w:rsidRPr="00C36F37">
        <w:rPr>
          <w:rFonts w:ascii="Arial Black" w:hAnsi="Arial Black" w:cs="Tahoma"/>
          <w:sz w:val="22"/>
          <w:szCs w:val="22"/>
        </w:rPr>
        <w:t xml:space="preserve">Εξίσου απαισιόδοξες είναι και οι προοπτικές / προβλέψεις για το </w:t>
      </w:r>
      <w:proofErr w:type="spellStart"/>
      <w:r w:rsidRPr="00C36F37">
        <w:rPr>
          <w:rFonts w:ascii="Arial Black" w:hAnsi="Arial Black" w:cs="Tahoma"/>
          <w:sz w:val="22"/>
          <w:szCs w:val="22"/>
        </w:rPr>
        <w:t>α΄</w:t>
      </w:r>
      <w:proofErr w:type="spellEnd"/>
      <w:r w:rsidRPr="00C36F37">
        <w:rPr>
          <w:rFonts w:ascii="Arial Black" w:hAnsi="Arial Black" w:cs="Tahoma"/>
          <w:sz w:val="22"/>
          <w:szCs w:val="22"/>
        </w:rPr>
        <w:t xml:space="preserve"> εξά</w:t>
      </w:r>
      <w:r>
        <w:rPr>
          <w:rFonts w:ascii="Arial Black" w:hAnsi="Arial Black" w:cs="Tahoma"/>
          <w:sz w:val="22"/>
          <w:szCs w:val="22"/>
        </w:rPr>
        <w:t>μηνο του 2017 αφού μόλις το 3,6</w:t>
      </w:r>
      <w:r w:rsidRPr="00C36F37">
        <w:rPr>
          <w:rFonts w:ascii="Arial Black" w:hAnsi="Arial Black" w:cs="Tahoma"/>
          <w:sz w:val="22"/>
          <w:szCs w:val="22"/>
        </w:rPr>
        <w:t>% των επιχειρήσεων θα αυξήσει τις επενδ</w:t>
      </w:r>
      <w:r>
        <w:rPr>
          <w:rFonts w:ascii="Arial Black" w:hAnsi="Arial Black" w:cs="Tahoma"/>
          <w:sz w:val="22"/>
          <w:szCs w:val="22"/>
        </w:rPr>
        <w:t>υτικές του δαπάνες, ενώ το 31,4</w:t>
      </w:r>
      <w:r w:rsidRPr="00C36F37">
        <w:rPr>
          <w:rFonts w:ascii="Arial Black" w:hAnsi="Arial Black" w:cs="Tahoma"/>
          <w:sz w:val="22"/>
          <w:szCs w:val="22"/>
        </w:rPr>
        <w:t>% θα μειώσει τις επενδύσεις του. Η εικόνα είναι καλύτερη για τις σχετικά μεγαλύτερες επιχειρήσεις. Έτσι, για τις επιχειρήσεις που σημείωσαν ετήσιο κύκλο εργασιών πάνω από 300.000 ευρώ το ποσοστό εκείνων που θα αυξήσουν την ε</w:t>
      </w:r>
      <w:r>
        <w:rPr>
          <w:rFonts w:ascii="Arial Black" w:hAnsi="Arial Black" w:cs="Tahoma"/>
          <w:sz w:val="22"/>
          <w:szCs w:val="22"/>
        </w:rPr>
        <w:t>πενδυτική τους δαπάνη είναι 8,3</w:t>
      </w:r>
      <w:r w:rsidRPr="00C36F37">
        <w:rPr>
          <w:rFonts w:ascii="Arial Black" w:hAnsi="Arial Black" w:cs="Tahoma"/>
          <w:sz w:val="22"/>
          <w:szCs w:val="22"/>
        </w:rPr>
        <w:t xml:space="preserve">% ενώ για τις επιχειρήσεις που απασχολούν πάνω από 5 άτομα το </w:t>
      </w:r>
      <w:r>
        <w:rPr>
          <w:rFonts w:ascii="Arial Black" w:hAnsi="Arial Black" w:cs="Tahoma"/>
          <w:sz w:val="22"/>
          <w:szCs w:val="22"/>
        </w:rPr>
        <w:t>ποσοστό αυτό ανέρχεται στο 10,5</w:t>
      </w:r>
      <w:r w:rsidRPr="00C36F37">
        <w:rPr>
          <w:rFonts w:ascii="Arial Black" w:hAnsi="Arial Black" w:cs="Tahoma"/>
          <w:sz w:val="22"/>
          <w:szCs w:val="22"/>
        </w:rPr>
        <w:t>%.</w:t>
      </w:r>
    </w:p>
    <w:p w:rsidR="00C36F37" w:rsidRP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 xml:space="preserve">3) </w:t>
      </w:r>
      <w:r w:rsidRPr="00C36F37">
        <w:rPr>
          <w:rFonts w:ascii="Arial Black" w:hAnsi="Arial Black" w:cs="Tahoma"/>
          <w:sz w:val="22"/>
          <w:szCs w:val="22"/>
        </w:rPr>
        <w:t>Αυτή η απαισιόδοξη εικόνα ως προς τις προοπτικές των μικρών και πολύ μικρών επιχειρήσεων, όπως αυτή αποτυπώνεται στους δείκτες της επενδυτικής δραστηριότητας δεν είναι άσχετη με τις προοπτικές κερδοφορίας αυτής της κατηγορίας των επιχειρήσεων αφού για τις μισές περίπου από αυτές</w:t>
      </w:r>
      <w:r w:rsidR="0090785D">
        <w:rPr>
          <w:rFonts w:ascii="Arial Black" w:hAnsi="Arial Black" w:cs="Tahoma"/>
          <w:sz w:val="22"/>
          <w:szCs w:val="22"/>
        </w:rPr>
        <w:t xml:space="preserve"> τις επιχειρήσεις (ποσοστό 43,4</w:t>
      </w:r>
      <w:r w:rsidRPr="00C36F37">
        <w:rPr>
          <w:rFonts w:ascii="Arial Black" w:hAnsi="Arial Black" w:cs="Tahoma"/>
          <w:sz w:val="22"/>
          <w:szCs w:val="22"/>
        </w:rPr>
        <w:t>%) το 2016 έκλεισε με ζημιές.</w:t>
      </w:r>
    </w:p>
    <w:p w:rsidR="00C36F37" w:rsidRDefault="00C36F37" w:rsidP="00C36F37">
      <w:pPr>
        <w:pBdr>
          <w:top w:val="single" w:sz="4" w:space="0" w:color="auto"/>
          <w:left w:val="single" w:sz="4" w:space="4" w:color="auto"/>
          <w:bottom w:val="single" w:sz="4" w:space="1" w:color="auto"/>
          <w:right w:val="single" w:sz="4" w:space="4" w:color="auto"/>
        </w:pBdr>
        <w:tabs>
          <w:tab w:val="left" w:pos="426"/>
        </w:tabs>
        <w:jc w:val="both"/>
        <w:rPr>
          <w:rFonts w:ascii="Arial Black" w:hAnsi="Arial Black" w:cs="Tahoma"/>
          <w:sz w:val="22"/>
          <w:szCs w:val="22"/>
        </w:rPr>
      </w:pPr>
      <w:r>
        <w:rPr>
          <w:rFonts w:ascii="Arial Black" w:hAnsi="Arial Black" w:cs="Tahoma"/>
          <w:sz w:val="22"/>
          <w:szCs w:val="22"/>
        </w:rPr>
        <w:t xml:space="preserve">4) </w:t>
      </w:r>
      <w:r w:rsidRPr="00C36F37">
        <w:rPr>
          <w:rFonts w:ascii="Arial Black" w:hAnsi="Arial Black" w:cs="Tahoma"/>
          <w:sz w:val="22"/>
          <w:szCs w:val="22"/>
        </w:rPr>
        <w:t>Ένα δεύτερο στοιχείο που υπογραμμίζει περαιτέρω το ιδιαίτερα χαμηλό επίπεδο της επενδυτικής δραστηριότητας είναι και το σχετικά μικρό ποσοστό από τις μικρές κα</w:t>
      </w:r>
      <w:r>
        <w:rPr>
          <w:rFonts w:ascii="Arial Black" w:hAnsi="Arial Black" w:cs="Tahoma"/>
          <w:sz w:val="22"/>
          <w:szCs w:val="22"/>
        </w:rPr>
        <w:t>ι πολύ μικρές επιχειρήσεις (6,4</w:t>
      </w:r>
      <w:r w:rsidRPr="00C36F37">
        <w:rPr>
          <w:rFonts w:ascii="Arial Black" w:hAnsi="Arial Black" w:cs="Tahoma"/>
          <w:sz w:val="22"/>
          <w:szCs w:val="22"/>
        </w:rPr>
        <w:t>%) που έχει υπαχθεί σε κάποιο πρόγραμμα χρηματοδότησης επιχειρήσεων, όπως το ΕΣΠΑ ή ο Αναπτυξιακός Νόμος.</w:t>
      </w:r>
    </w:p>
    <w:p w:rsidR="001C038D" w:rsidRDefault="001C038D" w:rsidP="001C038D">
      <w:pPr>
        <w:pStyle w:val="aa"/>
        <w:ind w:left="0"/>
        <w:jc w:val="both"/>
        <w:rPr>
          <w:rFonts w:ascii="Arial Black" w:hAnsi="Arial Black" w:cs="Tahoma"/>
          <w:b/>
          <w:sz w:val="22"/>
          <w:szCs w:val="22"/>
          <w:highlight w:val="yellow"/>
        </w:rPr>
      </w:pPr>
    </w:p>
    <w:p w:rsidR="002010BB" w:rsidRPr="001B1D80" w:rsidRDefault="00C945AF" w:rsidP="001B1D80">
      <w:pPr>
        <w:pStyle w:val="aa"/>
        <w:ind w:left="0"/>
        <w:jc w:val="both"/>
        <w:rPr>
          <w:rFonts w:ascii="Arial Black" w:hAnsi="Arial Black" w:cs="Tahoma"/>
          <w:b/>
          <w:i/>
          <w:color w:val="E36C0A" w:themeColor="accent6" w:themeShade="BF"/>
          <w:sz w:val="22"/>
          <w:szCs w:val="22"/>
        </w:rPr>
      </w:pPr>
      <w:r w:rsidRPr="001C038D">
        <w:rPr>
          <w:rFonts w:ascii="Arial Black" w:hAnsi="Arial Black" w:cs="Tahoma"/>
          <w:b/>
          <w:i/>
          <w:color w:val="E36C0A" w:themeColor="accent6" w:themeShade="BF"/>
          <w:sz w:val="22"/>
          <w:szCs w:val="22"/>
        </w:rPr>
        <w:t>Γ. ΑΠΑΣΧΟΛΗΣΗ</w:t>
      </w:r>
      <w:r w:rsidR="00E12C02" w:rsidRPr="001C038D">
        <w:rPr>
          <w:rFonts w:ascii="Arial Black" w:hAnsi="Arial Black" w:cs="Tahoma"/>
          <w:b/>
          <w:i/>
          <w:color w:val="E36C0A" w:themeColor="accent6" w:themeShade="BF"/>
          <w:sz w:val="22"/>
          <w:szCs w:val="22"/>
        </w:rPr>
        <w:t>- ΑΓΟΡΑ ΕΡΓΑΣΙΑΣ</w:t>
      </w:r>
    </w:p>
    <w:p w:rsidR="0097601E" w:rsidRPr="008010D1" w:rsidRDefault="00C36F37" w:rsidP="00C36F37">
      <w:pPr>
        <w:pStyle w:val="aa"/>
        <w:numPr>
          <w:ilvl w:val="0"/>
          <w:numId w:val="40"/>
        </w:numPr>
        <w:pBdr>
          <w:top w:val="single" w:sz="4" w:space="1" w:color="auto"/>
          <w:left w:val="single" w:sz="4" w:space="4" w:color="auto"/>
          <w:bottom w:val="single" w:sz="4" w:space="1" w:color="auto"/>
          <w:right w:val="single" w:sz="4" w:space="4" w:color="auto"/>
        </w:pBdr>
        <w:ind w:left="0" w:firstLine="0"/>
        <w:contextualSpacing/>
        <w:jc w:val="both"/>
        <w:rPr>
          <w:rFonts w:ascii="Arial Black" w:hAnsi="Arial Black"/>
          <w:sz w:val="22"/>
          <w:szCs w:val="22"/>
        </w:rPr>
      </w:pPr>
      <w:r w:rsidRPr="008010D1">
        <w:rPr>
          <w:rFonts w:ascii="Arial Black" w:hAnsi="Arial Black"/>
          <w:sz w:val="22"/>
          <w:szCs w:val="22"/>
        </w:rPr>
        <w:t>Η συντριπτική πλειονότητα των μικρών και πολύ μικρών επιχειρήσεων (83,3%) διατήρησε σταθερό των αριθμό των απασχολουμένων σε αυτές. Για τις υπόλοιπες, ωστόσο, ο λόγος προσλήψεων</w:t>
      </w:r>
      <w:r w:rsidR="005000B1">
        <w:rPr>
          <w:rFonts w:ascii="Arial Black" w:hAnsi="Arial Black"/>
          <w:sz w:val="22"/>
          <w:szCs w:val="22"/>
        </w:rPr>
        <w:t>- απολύσεων</w:t>
      </w:r>
      <w:r w:rsidRPr="008010D1">
        <w:rPr>
          <w:rFonts w:ascii="Arial Black" w:hAnsi="Arial Black"/>
          <w:sz w:val="22"/>
          <w:szCs w:val="22"/>
        </w:rPr>
        <w:t xml:space="preserve"> παρέμεινε αρνητικός – μολονότι η «ψαλίδα» φαίνεται να κλείνει – αφού κατά το </w:t>
      </w:r>
      <w:proofErr w:type="spellStart"/>
      <w:r w:rsidRPr="008010D1">
        <w:rPr>
          <w:rFonts w:ascii="Arial Black" w:hAnsi="Arial Black"/>
          <w:sz w:val="22"/>
          <w:szCs w:val="22"/>
        </w:rPr>
        <w:t>β΄</w:t>
      </w:r>
      <w:proofErr w:type="spellEnd"/>
      <w:r w:rsidRPr="008010D1">
        <w:rPr>
          <w:rFonts w:ascii="Arial Black" w:hAnsi="Arial Black"/>
          <w:sz w:val="22"/>
          <w:szCs w:val="22"/>
        </w:rPr>
        <w:t xml:space="preserve"> εξάμηνο του 2016 για κάθε μία επιχείρηση που έκανε πρόσληψη υπήρξαν 2 επιχειρήσεις που έκαναν απολύσεις. Έτσι, μ</w:t>
      </w:r>
      <w:r w:rsidR="004E68C3" w:rsidRPr="008010D1">
        <w:rPr>
          <w:rFonts w:ascii="Arial Black" w:hAnsi="Arial Black"/>
          <w:sz w:val="22"/>
          <w:szCs w:val="22"/>
        </w:rPr>
        <w:t>είωση προσωπικού ανέφερε το 9,2</w:t>
      </w:r>
      <w:r w:rsidRPr="008010D1">
        <w:rPr>
          <w:rFonts w:ascii="Arial Black" w:hAnsi="Arial Black"/>
          <w:sz w:val="22"/>
          <w:szCs w:val="22"/>
        </w:rPr>
        <w:t xml:space="preserve">% των επιχειρήσεων (για τις επιχειρήσεις στον τομέα των υπηρεσιών το ποσοστό αυτό αυξάνεται στο 12,3%, στοιχείο που πιθανόν να σχετίζεται με την εποχικότητα της επιχειρηματικής δραστηριότητας) ενώ αύξηση ανέφερε το 4,6%. Σε απόλυτα μεγέθη, </w:t>
      </w:r>
      <w:r w:rsidR="00615963" w:rsidRPr="008010D1">
        <w:rPr>
          <w:rFonts w:ascii="Arial Black" w:hAnsi="Arial Black"/>
          <w:sz w:val="22"/>
          <w:szCs w:val="22"/>
        </w:rPr>
        <w:t>εκτιμάται</w:t>
      </w:r>
      <w:r w:rsidR="00615963" w:rsidRPr="0097601E">
        <w:rPr>
          <w:rFonts w:ascii="Arial Black" w:hAnsi="Arial Black"/>
          <w:sz w:val="22"/>
          <w:szCs w:val="22"/>
        </w:rPr>
        <w:t xml:space="preserve"> ότι </w:t>
      </w:r>
      <w:r w:rsidRPr="0097601E">
        <w:rPr>
          <w:rFonts w:ascii="Arial Black" w:hAnsi="Arial Black"/>
          <w:sz w:val="22"/>
          <w:szCs w:val="22"/>
        </w:rPr>
        <w:t xml:space="preserve">η απώλεια θέσεων μισθωτής απασχόλησης στις μικρές και πολύ μικρές επιχειρήσεις κατά το </w:t>
      </w:r>
      <w:proofErr w:type="spellStart"/>
      <w:r w:rsidRPr="0097601E">
        <w:rPr>
          <w:rFonts w:ascii="Arial Black" w:hAnsi="Arial Black"/>
          <w:sz w:val="22"/>
          <w:szCs w:val="22"/>
        </w:rPr>
        <w:t>β΄</w:t>
      </w:r>
      <w:proofErr w:type="spellEnd"/>
      <w:r w:rsidRPr="0097601E">
        <w:rPr>
          <w:rFonts w:ascii="Arial Black" w:hAnsi="Arial Black"/>
          <w:sz w:val="22"/>
          <w:szCs w:val="22"/>
        </w:rPr>
        <w:t xml:space="preserve"> </w:t>
      </w:r>
      <w:r w:rsidR="00BC48E8" w:rsidRPr="0097601E">
        <w:rPr>
          <w:rFonts w:ascii="Arial Black" w:hAnsi="Arial Black"/>
          <w:sz w:val="22"/>
          <w:szCs w:val="22"/>
        </w:rPr>
        <w:t>εξάμηνο του 2016 ανήλθε στις 23,</w:t>
      </w:r>
      <w:r w:rsidRPr="0097601E">
        <w:rPr>
          <w:rFonts w:ascii="Arial Black" w:hAnsi="Arial Black"/>
          <w:sz w:val="22"/>
          <w:szCs w:val="22"/>
        </w:rPr>
        <w:t>000</w:t>
      </w:r>
      <w:r w:rsidR="00615963" w:rsidRPr="0097601E">
        <w:rPr>
          <w:rFonts w:ascii="Arial Black" w:hAnsi="Arial Black"/>
          <w:sz w:val="22"/>
          <w:szCs w:val="22"/>
        </w:rPr>
        <w:t xml:space="preserve"> (στην έρευνα Ιουλίου είχαν προβλεφθεί</w:t>
      </w:r>
      <w:r w:rsidR="00BC48E8" w:rsidRPr="0097601E">
        <w:rPr>
          <w:rFonts w:ascii="Arial Black" w:hAnsi="Arial Black"/>
          <w:sz w:val="22"/>
          <w:szCs w:val="22"/>
        </w:rPr>
        <w:t xml:space="preserve"> 22,500 απώλειες</w:t>
      </w:r>
      <w:r w:rsidR="00615963" w:rsidRPr="008010D1">
        <w:rPr>
          <w:rFonts w:ascii="Arial Black" w:hAnsi="Arial Black"/>
          <w:sz w:val="22"/>
          <w:szCs w:val="22"/>
        </w:rPr>
        <w:t>)</w:t>
      </w:r>
      <w:r w:rsidRPr="008010D1">
        <w:rPr>
          <w:rFonts w:ascii="Arial Black" w:hAnsi="Arial Black"/>
          <w:sz w:val="22"/>
          <w:szCs w:val="22"/>
        </w:rPr>
        <w:t xml:space="preserve">. </w:t>
      </w:r>
      <w:r w:rsidR="0097601E" w:rsidRPr="008010D1">
        <w:rPr>
          <w:rFonts w:ascii="Arial Black" w:hAnsi="Arial Black"/>
          <w:sz w:val="22"/>
          <w:szCs w:val="22"/>
        </w:rPr>
        <w:t xml:space="preserve">Αυτό επιβεβαιώνεται και από τα στατιστικά του ΠΣ ΕΡΓΑΝΗ όπου το </w:t>
      </w:r>
      <w:r w:rsidR="0097601E" w:rsidRPr="008010D1">
        <w:rPr>
          <w:rFonts w:ascii="Arial Black" w:hAnsi="Arial Black"/>
          <w:sz w:val="22"/>
          <w:szCs w:val="22"/>
        </w:rPr>
        <w:lastRenderedPageBreak/>
        <w:t xml:space="preserve">ισοζύγιο των ροών μισθωτής απασχόλησης  </w:t>
      </w:r>
      <w:r w:rsidR="00914E93" w:rsidRPr="008010D1">
        <w:rPr>
          <w:rFonts w:ascii="Arial Black" w:hAnsi="Arial Black"/>
          <w:sz w:val="22"/>
          <w:szCs w:val="22"/>
        </w:rPr>
        <w:t>για το 2</w:t>
      </w:r>
      <w:r w:rsidR="00914E93" w:rsidRPr="008010D1">
        <w:rPr>
          <w:rFonts w:ascii="Arial Black" w:hAnsi="Arial Black"/>
          <w:sz w:val="22"/>
          <w:szCs w:val="22"/>
          <w:vertAlign w:val="superscript"/>
        </w:rPr>
        <w:t xml:space="preserve">ο </w:t>
      </w:r>
      <w:r w:rsidR="00914E93" w:rsidRPr="008010D1">
        <w:rPr>
          <w:rFonts w:ascii="Arial Black" w:hAnsi="Arial Black"/>
          <w:sz w:val="22"/>
          <w:szCs w:val="22"/>
        </w:rPr>
        <w:t>εξάμηνο του 2016</w:t>
      </w:r>
      <w:r w:rsidR="0097601E" w:rsidRPr="008010D1">
        <w:rPr>
          <w:rFonts w:ascii="Arial Black" w:hAnsi="Arial Black"/>
          <w:sz w:val="22"/>
          <w:szCs w:val="22"/>
        </w:rPr>
        <w:t xml:space="preserve"> σε σύγκριση με το </w:t>
      </w:r>
      <w:r w:rsidR="00914E93" w:rsidRPr="008010D1">
        <w:rPr>
          <w:rFonts w:ascii="Arial Black" w:hAnsi="Arial Black"/>
          <w:sz w:val="22"/>
          <w:szCs w:val="22"/>
        </w:rPr>
        <w:t>αντίστοιχο</w:t>
      </w:r>
      <w:r w:rsidR="0097601E" w:rsidRPr="008010D1">
        <w:rPr>
          <w:rFonts w:ascii="Arial Black" w:hAnsi="Arial Black"/>
          <w:sz w:val="22"/>
          <w:szCs w:val="22"/>
        </w:rPr>
        <w:t xml:space="preserve"> εξάμηνο το</w:t>
      </w:r>
      <w:r w:rsidR="00914E93" w:rsidRPr="008010D1">
        <w:rPr>
          <w:rFonts w:ascii="Arial Black" w:hAnsi="Arial Black"/>
          <w:sz w:val="22"/>
          <w:szCs w:val="22"/>
        </w:rPr>
        <w:t>υ</w:t>
      </w:r>
      <w:r w:rsidR="0097601E" w:rsidRPr="008010D1">
        <w:rPr>
          <w:rFonts w:ascii="Arial Black" w:hAnsi="Arial Black"/>
          <w:sz w:val="22"/>
          <w:szCs w:val="22"/>
        </w:rPr>
        <w:t xml:space="preserve"> 2015 είναι αρνητικό κατά </w:t>
      </w:r>
      <w:r w:rsidR="00914E93" w:rsidRPr="008010D1">
        <w:rPr>
          <w:rFonts w:ascii="Arial Black" w:hAnsi="Arial Black"/>
          <w:sz w:val="22"/>
          <w:szCs w:val="22"/>
        </w:rPr>
        <w:t>25.000 θέσεις εργασίας περίπου</w:t>
      </w:r>
      <w:r w:rsidR="0097601E" w:rsidRPr="008010D1">
        <w:rPr>
          <w:rFonts w:ascii="Arial Black" w:hAnsi="Arial Black"/>
          <w:sz w:val="22"/>
          <w:szCs w:val="22"/>
        </w:rPr>
        <w:t xml:space="preserve">. </w:t>
      </w:r>
    </w:p>
    <w:p w:rsidR="00C36F37" w:rsidRPr="008010D1" w:rsidRDefault="00C36F37" w:rsidP="00C36F37">
      <w:pPr>
        <w:pStyle w:val="aa"/>
        <w:numPr>
          <w:ilvl w:val="0"/>
          <w:numId w:val="40"/>
        </w:numPr>
        <w:pBdr>
          <w:top w:val="single" w:sz="4" w:space="1" w:color="auto"/>
          <w:left w:val="single" w:sz="4" w:space="4" w:color="auto"/>
          <w:bottom w:val="single" w:sz="4" w:space="1" w:color="auto"/>
          <w:right w:val="single" w:sz="4" w:space="4" w:color="auto"/>
        </w:pBdr>
        <w:ind w:left="0" w:firstLine="0"/>
        <w:contextualSpacing/>
        <w:jc w:val="both"/>
        <w:rPr>
          <w:rFonts w:ascii="Arial Black" w:hAnsi="Arial Black"/>
          <w:sz w:val="22"/>
          <w:szCs w:val="22"/>
        </w:rPr>
      </w:pPr>
      <w:r w:rsidRPr="008010D1">
        <w:rPr>
          <w:rFonts w:ascii="Arial Black" w:hAnsi="Arial Black"/>
          <w:sz w:val="22"/>
          <w:szCs w:val="22"/>
        </w:rPr>
        <w:t xml:space="preserve">Οι προοπτικές για το </w:t>
      </w:r>
      <w:proofErr w:type="spellStart"/>
      <w:r w:rsidRPr="008010D1">
        <w:rPr>
          <w:rFonts w:ascii="Arial Black" w:hAnsi="Arial Black"/>
          <w:sz w:val="22"/>
          <w:szCs w:val="22"/>
        </w:rPr>
        <w:t>α΄</w:t>
      </w:r>
      <w:proofErr w:type="spellEnd"/>
      <w:r w:rsidRPr="008010D1">
        <w:rPr>
          <w:rFonts w:ascii="Arial Black" w:hAnsi="Arial Black"/>
          <w:sz w:val="22"/>
          <w:szCs w:val="22"/>
        </w:rPr>
        <w:t xml:space="preserve"> εξάμηνο του 2017 ως προς το λόγο προσλήψεων – απολύσεων δείχνουν ότι σε δύο επιχειρήσεις που κάνουν προσλήψεις (8,1% των επιχειρήσεων) αντιστοιχούν τρεις επιχειρήσεις που προχωρούν σε απολύσεις. </w:t>
      </w:r>
      <w:r w:rsidR="00914E93" w:rsidRPr="008010D1">
        <w:rPr>
          <w:rFonts w:ascii="Arial Black" w:hAnsi="Arial Black"/>
          <w:sz w:val="22"/>
          <w:szCs w:val="22"/>
        </w:rPr>
        <w:t>Για το επόμενο εξάμηνο σύμφωνα με την έρευνα αναμένονται 2.000 επιπλέον απώλειες θέσεων μισθωτής απασχόλησης</w:t>
      </w:r>
      <w:r w:rsidR="008010D1" w:rsidRPr="008010D1">
        <w:rPr>
          <w:rFonts w:ascii="Arial Black" w:hAnsi="Arial Black"/>
          <w:sz w:val="22"/>
          <w:szCs w:val="22"/>
        </w:rPr>
        <w:t>, χωρίς να λαμβάνονται υπόψη οι απώλειες από τα λουκέτα</w:t>
      </w:r>
      <w:r w:rsidR="00914E93" w:rsidRPr="008010D1">
        <w:rPr>
          <w:rFonts w:ascii="Arial Black" w:hAnsi="Arial Black"/>
          <w:sz w:val="22"/>
          <w:szCs w:val="22"/>
        </w:rPr>
        <w:t>.</w:t>
      </w:r>
      <w:r w:rsidRPr="008010D1">
        <w:rPr>
          <w:rFonts w:ascii="Arial Black" w:hAnsi="Arial Black"/>
          <w:sz w:val="22"/>
          <w:szCs w:val="22"/>
        </w:rPr>
        <w:t xml:space="preserve"> </w:t>
      </w:r>
    </w:p>
    <w:p w:rsidR="00C36F37" w:rsidRPr="00C36F37" w:rsidRDefault="00C36F37" w:rsidP="00C36F37">
      <w:pPr>
        <w:pStyle w:val="aa"/>
        <w:numPr>
          <w:ilvl w:val="0"/>
          <w:numId w:val="40"/>
        </w:numPr>
        <w:pBdr>
          <w:top w:val="single" w:sz="4" w:space="1" w:color="auto"/>
          <w:left w:val="single" w:sz="4" w:space="4" w:color="auto"/>
          <w:bottom w:val="single" w:sz="4" w:space="1" w:color="auto"/>
          <w:right w:val="single" w:sz="4" w:space="4" w:color="auto"/>
        </w:pBdr>
        <w:ind w:left="0" w:firstLine="0"/>
        <w:contextualSpacing/>
        <w:jc w:val="both"/>
        <w:rPr>
          <w:rFonts w:ascii="Arial Black" w:hAnsi="Arial Black"/>
          <w:sz w:val="22"/>
          <w:szCs w:val="22"/>
        </w:rPr>
      </w:pPr>
      <w:r w:rsidRPr="00C36F37">
        <w:rPr>
          <w:rFonts w:ascii="Arial Black" w:hAnsi="Arial Black"/>
          <w:sz w:val="22"/>
          <w:szCs w:val="22"/>
        </w:rPr>
        <w:t xml:space="preserve">Αλλά ακόμα και από αυτές τις επιχειρήσεις που θα προχωρήσουν σε προσλήψεις και αύξηση του προσωπικού κατά το </w:t>
      </w:r>
      <w:proofErr w:type="spellStart"/>
      <w:r w:rsidRPr="00C36F37">
        <w:rPr>
          <w:rFonts w:ascii="Arial Black" w:hAnsi="Arial Black"/>
          <w:sz w:val="22"/>
          <w:szCs w:val="22"/>
        </w:rPr>
        <w:t>α΄</w:t>
      </w:r>
      <w:proofErr w:type="spellEnd"/>
      <w:r w:rsidRPr="00C36F37">
        <w:rPr>
          <w:rFonts w:ascii="Arial Black" w:hAnsi="Arial Black"/>
          <w:sz w:val="22"/>
          <w:szCs w:val="22"/>
        </w:rPr>
        <w:t xml:space="preserve"> εξάμηνο του 2017 το 40% περίπου θα προχωρήσει σε προσλήψεις είτε με το καθεστώς της μερικής απασχόλησης είτε με το καθεστώς του εξωτερικού συνεργάτη.</w:t>
      </w:r>
    </w:p>
    <w:p w:rsidR="00C36F37" w:rsidRDefault="00C36F37" w:rsidP="00C36F37">
      <w:pPr>
        <w:pStyle w:val="aa"/>
        <w:numPr>
          <w:ilvl w:val="0"/>
          <w:numId w:val="40"/>
        </w:numPr>
        <w:pBdr>
          <w:top w:val="single" w:sz="4" w:space="1" w:color="auto"/>
          <w:left w:val="single" w:sz="4" w:space="4" w:color="auto"/>
          <w:bottom w:val="single" w:sz="4" w:space="1" w:color="auto"/>
          <w:right w:val="single" w:sz="4" w:space="4" w:color="auto"/>
        </w:pBdr>
        <w:ind w:left="0" w:firstLine="0"/>
        <w:contextualSpacing/>
        <w:jc w:val="both"/>
        <w:rPr>
          <w:rFonts w:ascii="Arial Black" w:hAnsi="Arial Black"/>
          <w:sz w:val="22"/>
          <w:szCs w:val="22"/>
        </w:rPr>
      </w:pPr>
      <w:r w:rsidRPr="00C36F37">
        <w:rPr>
          <w:rFonts w:ascii="Arial Black" w:hAnsi="Arial Black"/>
          <w:sz w:val="22"/>
          <w:szCs w:val="22"/>
        </w:rPr>
        <w:t>Το καθεστώς των ευέλικτων μορφών απασχόλησης φαίνεται ότι έχει παγιωθεί στις μικρές και πολύ μικρές επιχειρήσεις αφού οι μισές σχεδόν από αυτές (ποσοστό 48,2 %) απασχολεί προσωπικό με ευέλικτες μορφές απασχόλησης. Στο στοιχείο αυτό πρέπει να συνυπολογιστεί και το ότι 6 στι</w:t>
      </w:r>
      <w:r>
        <w:rPr>
          <w:rFonts w:ascii="Arial Black" w:hAnsi="Arial Black"/>
          <w:sz w:val="22"/>
          <w:szCs w:val="22"/>
        </w:rPr>
        <w:t>ς 10 επιχειρήσεις (ποσοστό 60,1</w:t>
      </w:r>
      <w:r w:rsidR="001B1D37">
        <w:rPr>
          <w:rFonts w:ascii="Arial Black" w:hAnsi="Arial Black"/>
          <w:sz w:val="22"/>
          <w:szCs w:val="22"/>
        </w:rPr>
        <w:t>%) απασχολούν</w:t>
      </w:r>
      <w:r w:rsidRPr="00C36F37">
        <w:rPr>
          <w:rFonts w:ascii="Arial Black" w:hAnsi="Arial Black"/>
          <w:sz w:val="22"/>
          <w:szCs w:val="22"/>
        </w:rPr>
        <w:t xml:space="preserve"> </w:t>
      </w:r>
      <w:proofErr w:type="spellStart"/>
      <w:r w:rsidRPr="00C36F37">
        <w:rPr>
          <w:rFonts w:ascii="Arial Black" w:hAnsi="Arial Black"/>
          <w:sz w:val="22"/>
          <w:szCs w:val="22"/>
        </w:rPr>
        <w:t>συμβοηθούντα</w:t>
      </w:r>
      <w:proofErr w:type="spellEnd"/>
      <w:r w:rsidRPr="00C36F37">
        <w:rPr>
          <w:rFonts w:ascii="Arial Black" w:hAnsi="Arial Black"/>
          <w:sz w:val="22"/>
          <w:szCs w:val="22"/>
        </w:rPr>
        <w:t xml:space="preserve"> μέλη της οικογένειας. Έτσι σε αυτήν την παραδοσιακή μορφή ευελιξίας έρχονται να προστεθούν και νεώτερες μορφές.</w:t>
      </w:r>
    </w:p>
    <w:p w:rsidR="00C36F37" w:rsidRPr="003B486D" w:rsidRDefault="00C36F37" w:rsidP="00C36F37">
      <w:pPr>
        <w:pStyle w:val="aa"/>
        <w:numPr>
          <w:ilvl w:val="0"/>
          <w:numId w:val="40"/>
        </w:numPr>
        <w:pBdr>
          <w:top w:val="single" w:sz="4" w:space="1" w:color="auto"/>
          <w:left w:val="single" w:sz="4" w:space="4" w:color="auto"/>
          <w:bottom w:val="single" w:sz="4" w:space="1" w:color="auto"/>
          <w:right w:val="single" w:sz="4" w:space="4" w:color="auto"/>
        </w:pBdr>
        <w:ind w:left="0" w:firstLine="0"/>
        <w:contextualSpacing/>
        <w:jc w:val="both"/>
        <w:rPr>
          <w:rFonts w:ascii="Arial Black" w:hAnsi="Arial Black"/>
          <w:sz w:val="22"/>
          <w:szCs w:val="22"/>
        </w:rPr>
      </w:pPr>
      <w:r w:rsidRPr="003B486D">
        <w:rPr>
          <w:rFonts w:ascii="Arial Black" w:hAnsi="Arial Black"/>
          <w:sz w:val="22"/>
          <w:szCs w:val="22"/>
        </w:rPr>
        <w:t xml:space="preserve">Το 37,2% των επιχειρήσεων προχώρησε κατά το </w:t>
      </w:r>
      <w:proofErr w:type="spellStart"/>
      <w:r w:rsidRPr="003B486D">
        <w:rPr>
          <w:rFonts w:ascii="Arial Black" w:hAnsi="Arial Black"/>
          <w:sz w:val="22"/>
          <w:szCs w:val="22"/>
        </w:rPr>
        <w:t>β΄</w:t>
      </w:r>
      <w:proofErr w:type="spellEnd"/>
      <w:r w:rsidRPr="003B486D">
        <w:rPr>
          <w:rFonts w:ascii="Arial Black" w:hAnsi="Arial Black"/>
          <w:sz w:val="22"/>
          <w:szCs w:val="22"/>
        </w:rPr>
        <w:t xml:space="preserve"> εξάμηνο του 2016 σε μείωση ωρών ή και ημερών εργασίας (τον Φεβρουάριο του 2016 το αντίστοιχο ποσοστό ήταν 45,2%). Για το </w:t>
      </w:r>
      <w:proofErr w:type="spellStart"/>
      <w:r w:rsidRPr="003B486D">
        <w:rPr>
          <w:rFonts w:ascii="Arial Black" w:hAnsi="Arial Black"/>
          <w:sz w:val="22"/>
          <w:szCs w:val="22"/>
        </w:rPr>
        <w:t>α΄</w:t>
      </w:r>
      <w:proofErr w:type="spellEnd"/>
      <w:r w:rsidRPr="003B486D">
        <w:rPr>
          <w:rFonts w:ascii="Arial Black" w:hAnsi="Arial Black"/>
          <w:sz w:val="22"/>
          <w:szCs w:val="22"/>
        </w:rPr>
        <w:t xml:space="preserve"> εξάμηνο του 2017 οι επιχειρήσεις που θεωρούν σχεδόν βέβαιο να προχωρήσουν σε μείωση ωρών εργασίας είναι 24,4%. </w:t>
      </w:r>
    </w:p>
    <w:p w:rsidR="00B22D61" w:rsidRPr="003B486D" w:rsidRDefault="00C36F37" w:rsidP="00C36F37">
      <w:pPr>
        <w:pStyle w:val="aa"/>
        <w:numPr>
          <w:ilvl w:val="0"/>
          <w:numId w:val="40"/>
        </w:numPr>
        <w:pBdr>
          <w:top w:val="single" w:sz="4" w:space="1" w:color="auto"/>
          <w:left w:val="single" w:sz="4" w:space="4" w:color="auto"/>
          <w:bottom w:val="single" w:sz="4" w:space="1" w:color="auto"/>
          <w:right w:val="single" w:sz="4" w:space="4" w:color="auto"/>
        </w:pBdr>
        <w:ind w:left="0" w:firstLine="0"/>
        <w:contextualSpacing/>
        <w:jc w:val="both"/>
        <w:rPr>
          <w:rFonts w:ascii="Arial Black" w:hAnsi="Arial Black"/>
          <w:sz w:val="22"/>
          <w:szCs w:val="22"/>
        </w:rPr>
      </w:pPr>
      <w:r w:rsidRPr="003B486D">
        <w:rPr>
          <w:rFonts w:ascii="Arial Black" w:hAnsi="Arial Black"/>
          <w:sz w:val="22"/>
          <w:szCs w:val="22"/>
        </w:rPr>
        <w:t xml:space="preserve">Κατά το </w:t>
      </w:r>
      <w:proofErr w:type="spellStart"/>
      <w:r w:rsidRPr="003B486D">
        <w:rPr>
          <w:rFonts w:ascii="Arial Black" w:hAnsi="Arial Black"/>
          <w:sz w:val="22"/>
          <w:szCs w:val="22"/>
        </w:rPr>
        <w:t>β΄</w:t>
      </w:r>
      <w:proofErr w:type="spellEnd"/>
      <w:r w:rsidRPr="003B486D">
        <w:rPr>
          <w:rFonts w:ascii="Arial Black" w:hAnsi="Arial Black"/>
          <w:sz w:val="22"/>
          <w:szCs w:val="22"/>
        </w:rPr>
        <w:t xml:space="preserve"> εξάμηνο του 2016 περίπου 3 στις 10 επιχειρήσεις (ποσοστό 31,8%) προχώρησαν σε μείωση των αποδοχών του προσωπικού τους. Το ποσοστό αυτό είναι κατά τι χαμηλότερο σε σύγκριση με τον Φεβρουάριο του 2016 (32,8%) αλλά υψηλότερο από το αντίστοι</w:t>
      </w:r>
      <w:r w:rsidR="003B486D" w:rsidRPr="003B486D">
        <w:rPr>
          <w:rFonts w:ascii="Arial Black" w:hAnsi="Arial Black"/>
          <w:sz w:val="22"/>
          <w:szCs w:val="22"/>
        </w:rPr>
        <w:t>χο ποσοστό του Ιουλίου 2016 (28</w:t>
      </w:r>
      <w:r w:rsidRPr="003B486D">
        <w:rPr>
          <w:rFonts w:ascii="Arial Black" w:hAnsi="Arial Black"/>
          <w:sz w:val="22"/>
          <w:szCs w:val="22"/>
        </w:rPr>
        <w:t xml:space="preserve">%). Το εύρημα αυτό </w:t>
      </w:r>
      <w:r w:rsidR="008F4AB1">
        <w:rPr>
          <w:rFonts w:ascii="Arial Black" w:hAnsi="Arial Black"/>
          <w:sz w:val="22"/>
          <w:szCs w:val="22"/>
        </w:rPr>
        <w:t>σχετίζεται με το γεγονός</w:t>
      </w:r>
      <w:r w:rsidRPr="003B486D">
        <w:rPr>
          <w:rFonts w:ascii="Arial Black" w:hAnsi="Arial Black"/>
          <w:sz w:val="22"/>
          <w:szCs w:val="22"/>
        </w:rPr>
        <w:t xml:space="preserve"> ότι 4 στις 10 επιχειρήσεις περίπου (ποσοστό 39,3%) αντιμετώπισαν κατά το </w:t>
      </w:r>
      <w:proofErr w:type="spellStart"/>
      <w:r w:rsidRPr="003B486D">
        <w:rPr>
          <w:rFonts w:ascii="Arial Black" w:hAnsi="Arial Black"/>
          <w:sz w:val="22"/>
          <w:szCs w:val="22"/>
        </w:rPr>
        <w:t>β΄</w:t>
      </w:r>
      <w:proofErr w:type="spellEnd"/>
      <w:r w:rsidRPr="003B486D">
        <w:rPr>
          <w:rFonts w:ascii="Arial Black" w:hAnsi="Arial Black"/>
          <w:sz w:val="22"/>
          <w:szCs w:val="22"/>
        </w:rPr>
        <w:t xml:space="preserve"> εξάμηνο του 2016 δυσκολίες στην καταβολή των μισθών του προσωπικού τους.</w:t>
      </w:r>
    </w:p>
    <w:p w:rsidR="00DF4C06" w:rsidRDefault="00DF4C06" w:rsidP="001C038D">
      <w:pPr>
        <w:pStyle w:val="aa"/>
        <w:ind w:left="0"/>
        <w:jc w:val="both"/>
        <w:rPr>
          <w:rFonts w:ascii="Arial Black" w:hAnsi="Arial Black" w:cs="Tahoma"/>
          <w:b/>
          <w:i/>
          <w:color w:val="E36C0A" w:themeColor="accent6" w:themeShade="BF"/>
          <w:sz w:val="22"/>
          <w:szCs w:val="22"/>
        </w:rPr>
      </w:pPr>
    </w:p>
    <w:p w:rsidR="00884024" w:rsidRPr="001C038D" w:rsidRDefault="00C945AF" w:rsidP="00E91253">
      <w:pPr>
        <w:pStyle w:val="aa"/>
        <w:ind w:left="0"/>
        <w:jc w:val="both"/>
        <w:rPr>
          <w:rFonts w:ascii="Arial Black" w:hAnsi="Arial Black" w:cs="Tahoma"/>
          <w:b/>
          <w:i/>
          <w:color w:val="E36C0A" w:themeColor="accent6" w:themeShade="BF"/>
          <w:sz w:val="22"/>
          <w:szCs w:val="22"/>
        </w:rPr>
      </w:pPr>
      <w:r w:rsidRPr="001C038D">
        <w:rPr>
          <w:rFonts w:ascii="Arial Black" w:hAnsi="Arial Black" w:cs="Tahoma"/>
          <w:b/>
          <w:i/>
          <w:color w:val="E36C0A" w:themeColor="accent6" w:themeShade="BF"/>
          <w:sz w:val="22"/>
          <w:szCs w:val="22"/>
        </w:rPr>
        <w:t>Δ</w:t>
      </w:r>
      <w:r w:rsidR="000D2D16" w:rsidRPr="001C038D">
        <w:rPr>
          <w:rFonts w:ascii="Arial Black" w:hAnsi="Arial Black" w:cs="Tahoma"/>
          <w:b/>
          <w:i/>
          <w:color w:val="E36C0A" w:themeColor="accent6" w:themeShade="BF"/>
          <w:sz w:val="22"/>
          <w:szCs w:val="22"/>
        </w:rPr>
        <w:t xml:space="preserve">. </w:t>
      </w:r>
      <w:r w:rsidR="003F7FBB" w:rsidRPr="001C038D">
        <w:rPr>
          <w:rFonts w:ascii="Arial Black" w:hAnsi="Arial Black" w:cs="Tahoma"/>
          <w:b/>
          <w:i/>
          <w:color w:val="E36C0A" w:themeColor="accent6" w:themeShade="BF"/>
          <w:sz w:val="22"/>
          <w:szCs w:val="22"/>
        </w:rPr>
        <w:t>ΥΠΟΧΡΕΩΣΕΙΣ- ΟΦΕΙΛΕΣ</w:t>
      </w:r>
    </w:p>
    <w:p w:rsidR="00063672" w:rsidRDefault="00063672" w:rsidP="00E91253">
      <w:pPr>
        <w:pStyle w:val="aa"/>
        <w:numPr>
          <w:ilvl w:val="0"/>
          <w:numId w:val="25"/>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063672">
        <w:rPr>
          <w:rFonts w:ascii="Arial Black" w:hAnsi="Arial Black" w:cs="Tahoma"/>
          <w:sz w:val="22"/>
          <w:szCs w:val="22"/>
        </w:rPr>
        <w:t>Το υψηλότερο ποσοστό των επιχειρήσεων που έχουν καθυστερημένες οφειλές συγκεντρώνεται σε εκείνες που έχουν χρέη προς τον ΟΑΕΕ και νυν ΕΦΚΑ (ποσοστό 26,7%). Μολονότι το ποσοστό αυτό εμφανίζεται μειωμένο σε σύγκρι</w:t>
      </w:r>
      <w:r>
        <w:rPr>
          <w:rFonts w:ascii="Arial Black" w:hAnsi="Arial Black" w:cs="Tahoma"/>
          <w:sz w:val="22"/>
          <w:szCs w:val="22"/>
        </w:rPr>
        <w:t>ση με τον Ιούλιο του 2016 (28,3</w:t>
      </w:r>
      <w:r w:rsidRPr="00063672">
        <w:rPr>
          <w:rFonts w:ascii="Arial Black" w:hAnsi="Arial Black" w:cs="Tahoma"/>
          <w:sz w:val="22"/>
          <w:szCs w:val="22"/>
        </w:rPr>
        <w:t>%), ο αριθμός των επιχειρήσεων με οφειλές και χρέη στο ασφαλιστικό ταμείο υπολογίζεται στις 300.000.</w:t>
      </w:r>
    </w:p>
    <w:p w:rsidR="00063672" w:rsidRPr="00063672" w:rsidRDefault="00063672" w:rsidP="00E91253">
      <w:pPr>
        <w:pStyle w:val="aa"/>
        <w:numPr>
          <w:ilvl w:val="0"/>
          <w:numId w:val="25"/>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063672">
        <w:rPr>
          <w:rFonts w:ascii="Arial Black" w:hAnsi="Arial Black" w:cs="Tahoma"/>
          <w:sz w:val="22"/>
          <w:szCs w:val="22"/>
        </w:rPr>
        <w:t>Αυτό που εμφανίζεται ιδιαίτερα ανησυχητικό σε σχέση με τις οφειλές των μικρών και πολύ μικρών επιχειρήσεων είναι η αύξηση των επιχειρήσεων που έχουν οφειλές στην εφορία αφενός και στους προμηθευτές αφετέρου. Πιο συγκεκριμένα, οι επιχειρήσεις που έχουν οφειλές προς την εφορία αυξήθηκαν από 21,</w:t>
      </w:r>
      <w:r>
        <w:rPr>
          <w:rFonts w:ascii="Arial Black" w:hAnsi="Arial Black" w:cs="Tahoma"/>
          <w:sz w:val="22"/>
          <w:szCs w:val="22"/>
        </w:rPr>
        <w:t>9% τον Ιούλιο του 2016 σε 23,8</w:t>
      </w:r>
      <w:r w:rsidRPr="00063672">
        <w:rPr>
          <w:rFonts w:ascii="Arial Black" w:hAnsi="Arial Black" w:cs="Tahoma"/>
          <w:sz w:val="22"/>
          <w:szCs w:val="22"/>
        </w:rPr>
        <w:t>% τον Φεβρουά</w:t>
      </w:r>
      <w:r>
        <w:rPr>
          <w:rFonts w:ascii="Arial Black" w:hAnsi="Arial Black" w:cs="Tahoma"/>
          <w:sz w:val="22"/>
          <w:szCs w:val="22"/>
        </w:rPr>
        <w:t>ριο του 2017 (ρυθμός αύξησης 10</w:t>
      </w:r>
      <w:r w:rsidR="008F4AB1">
        <w:rPr>
          <w:rFonts w:ascii="Arial Black" w:hAnsi="Arial Black" w:cs="Tahoma"/>
          <w:sz w:val="22"/>
          <w:szCs w:val="22"/>
        </w:rPr>
        <w:t>% περίπου!</w:t>
      </w:r>
      <w:r w:rsidRPr="00063672">
        <w:rPr>
          <w:rFonts w:ascii="Arial Black" w:hAnsi="Arial Black" w:cs="Tahoma"/>
          <w:sz w:val="22"/>
          <w:szCs w:val="22"/>
        </w:rPr>
        <w:t xml:space="preserve">). Το στοιχείο αυτό συμβαδίζει με το ύψος των ληξιπρόθεσμων οφειλών του Φεβρουαρίου του 2017, οι οποίες ανήλθαν στα 1,63 δις ευρώ. Μάλιστα, οι προοπτικές εμφανίζονται ακόμα πιο δυσμενείς αφού το ποσοστό των επιχειρήσεων που εκτιμά ότι δεν θα </w:t>
      </w:r>
      <w:r w:rsidRPr="00063672">
        <w:rPr>
          <w:rFonts w:ascii="Arial Black" w:hAnsi="Arial Black" w:cs="Tahoma"/>
          <w:sz w:val="22"/>
          <w:szCs w:val="22"/>
        </w:rPr>
        <w:lastRenderedPageBreak/>
        <w:t>μπορέσει να αντεπεξέλθει στις οφειλές του προς την ε</w:t>
      </w:r>
      <w:r>
        <w:rPr>
          <w:rFonts w:ascii="Arial Black" w:hAnsi="Arial Black" w:cs="Tahoma"/>
          <w:sz w:val="22"/>
          <w:szCs w:val="22"/>
        </w:rPr>
        <w:t>φορία το 2017 ανέρχεται σε 33,2</w:t>
      </w:r>
      <w:r w:rsidRPr="00063672">
        <w:rPr>
          <w:rFonts w:ascii="Arial Black" w:hAnsi="Arial Black" w:cs="Tahoma"/>
          <w:sz w:val="22"/>
          <w:szCs w:val="22"/>
        </w:rPr>
        <w:t xml:space="preserve">%, δηλαδή στο ένα τρίτο των μικρών και πολύ μικρών επιχειρήσεων. </w:t>
      </w:r>
    </w:p>
    <w:p w:rsidR="00063672" w:rsidRPr="00063672" w:rsidRDefault="00063672" w:rsidP="00E91253">
      <w:pPr>
        <w:pStyle w:val="aa"/>
        <w:numPr>
          <w:ilvl w:val="0"/>
          <w:numId w:val="25"/>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063672">
        <w:rPr>
          <w:rFonts w:ascii="Arial Black" w:hAnsi="Arial Black" w:cs="Tahoma"/>
          <w:sz w:val="22"/>
          <w:szCs w:val="22"/>
        </w:rPr>
        <w:t>Εξίσου ανησυχητική είναι και η αύξηση των επιχειρήσεων που έχουν χρέη προς το</w:t>
      </w:r>
      <w:r>
        <w:rPr>
          <w:rFonts w:ascii="Arial Black" w:hAnsi="Arial Black" w:cs="Tahoma"/>
          <w:sz w:val="22"/>
          <w:szCs w:val="22"/>
        </w:rPr>
        <w:t>υς προμηθευτές τους αφού από 19</w:t>
      </w:r>
      <w:r w:rsidRPr="00063672">
        <w:rPr>
          <w:rFonts w:ascii="Arial Black" w:hAnsi="Arial Black" w:cs="Tahoma"/>
          <w:sz w:val="22"/>
          <w:szCs w:val="22"/>
        </w:rPr>
        <w:t xml:space="preserve">% τον Ιούλιο του 2016 αυξήθηκαν σε </w:t>
      </w:r>
      <w:r>
        <w:rPr>
          <w:rFonts w:ascii="Arial Black" w:hAnsi="Arial Black" w:cs="Tahoma"/>
          <w:sz w:val="22"/>
          <w:szCs w:val="22"/>
        </w:rPr>
        <w:t>21,7% (ρυθμός αύξησης πάνω από 10</w:t>
      </w:r>
      <w:r w:rsidR="008F4AB1">
        <w:rPr>
          <w:rFonts w:ascii="Arial Black" w:hAnsi="Arial Black" w:cs="Tahoma"/>
          <w:sz w:val="22"/>
          <w:szCs w:val="22"/>
        </w:rPr>
        <w:t>%!</w:t>
      </w:r>
      <w:r w:rsidRPr="00063672">
        <w:rPr>
          <w:rFonts w:ascii="Arial Black" w:hAnsi="Arial Black" w:cs="Tahoma"/>
          <w:sz w:val="22"/>
          <w:szCs w:val="22"/>
        </w:rPr>
        <w:t>)</w:t>
      </w:r>
    </w:p>
    <w:p w:rsidR="004E68C3" w:rsidRDefault="00063672" w:rsidP="004E68C3">
      <w:pPr>
        <w:pStyle w:val="aa"/>
        <w:numPr>
          <w:ilvl w:val="0"/>
          <w:numId w:val="25"/>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063672">
        <w:rPr>
          <w:rFonts w:ascii="Arial Black" w:hAnsi="Arial Black" w:cs="Tahoma"/>
          <w:sz w:val="22"/>
          <w:szCs w:val="22"/>
        </w:rPr>
        <w:t>Η μείωση στον κύκλο εργασιών, η έλλειψη ρευστότητας, η χαμηλή κερδοφορία αλλά και η αύξηση των οφειλών κυρίως προς την εφορία παρουσιάζεται με τον πιο χαρακτηριστικό τρόπο στο εύρημα το σχετικό με το ότι 9 στις 10 επιχειρήσεις θεωρούν ως σημαντικότερο εμπόδιο για την επιχειρηματική δραστηριότητα την</w:t>
      </w:r>
      <w:r w:rsidR="00323E37">
        <w:rPr>
          <w:rFonts w:ascii="Arial Black" w:hAnsi="Arial Black" w:cs="Tahoma"/>
          <w:sz w:val="22"/>
          <w:szCs w:val="22"/>
        </w:rPr>
        <w:t xml:space="preserve"> αυξημένη φορολογία (ποσοστό 45</w:t>
      </w:r>
      <w:r w:rsidRPr="00063672">
        <w:rPr>
          <w:rFonts w:ascii="Arial Black" w:hAnsi="Arial Black" w:cs="Tahoma"/>
          <w:sz w:val="22"/>
          <w:szCs w:val="22"/>
        </w:rPr>
        <w:t>%) και τη μείωση των εισοδημάτων κα</w:t>
      </w:r>
      <w:r w:rsidR="00323E37">
        <w:rPr>
          <w:rFonts w:ascii="Arial Black" w:hAnsi="Arial Black" w:cs="Tahoma"/>
          <w:sz w:val="22"/>
          <w:szCs w:val="22"/>
        </w:rPr>
        <w:t>ι της κατανάλωσης (ποσοστό 41,5</w:t>
      </w:r>
      <w:r w:rsidRPr="00063672">
        <w:rPr>
          <w:rFonts w:ascii="Arial Black" w:hAnsi="Arial Black" w:cs="Tahoma"/>
          <w:sz w:val="22"/>
          <w:szCs w:val="22"/>
        </w:rPr>
        <w:t>%)</w:t>
      </w:r>
      <w:r w:rsidR="00323E37">
        <w:rPr>
          <w:rFonts w:ascii="Arial Black" w:hAnsi="Arial Black" w:cs="Tahoma"/>
          <w:sz w:val="22"/>
          <w:szCs w:val="22"/>
        </w:rPr>
        <w:t>.</w:t>
      </w:r>
    </w:p>
    <w:p w:rsidR="00AA4058" w:rsidRPr="004E68C3" w:rsidRDefault="00493494" w:rsidP="004E68C3">
      <w:pPr>
        <w:pStyle w:val="aa"/>
        <w:numPr>
          <w:ilvl w:val="0"/>
          <w:numId w:val="25"/>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4E68C3">
        <w:rPr>
          <w:rFonts w:ascii="Arial Black" w:hAnsi="Arial Black" w:cs="Tahoma"/>
          <w:sz w:val="22"/>
          <w:szCs w:val="22"/>
        </w:rPr>
        <w:t xml:space="preserve">Οι στατιστικές προβολές του ΙΜΕ ΓΣΕΒΕΕ δείχνουν </w:t>
      </w:r>
      <w:r w:rsidR="00AA4058" w:rsidRPr="004E68C3">
        <w:rPr>
          <w:rFonts w:ascii="Arial Black" w:hAnsi="Arial Black" w:cs="Tahoma"/>
          <w:sz w:val="22"/>
          <w:szCs w:val="22"/>
        </w:rPr>
        <w:t xml:space="preserve">ότι έχει </w:t>
      </w:r>
      <w:r w:rsidRPr="004E68C3">
        <w:rPr>
          <w:rFonts w:ascii="Arial Black" w:hAnsi="Arial Black" w:cs="Tahoma"/>
          <w:sz w:val="22"/>
          <w:szCs w:val="22"/>
        </w:rPr>
        <w:t>παγιωθεί</w:t>
      </w:r>
      <w:r w:rsidR="00AA4058" w:rsidRPr="004E68C3">
        <w:rPr>
          <w:rFonts w:ascii="Arial Black" w:hAnsi="Arial Black" w:cs="Tahoma"/>
          <w:sz w:val="22"/>
          <w:szCs w:val="22"/>
        </w:rPr>
        <w:t xml:space="preserve"> ένα περιβάλλον υψηλής έκθεσης των επιχειρήσεων </w:t>
      </w:r>
      <w:r w:rsidRPr="004E68C3">
        <w:rPr>
          <w:rFonts w:ascii="Arial Black" w:hAnsi="Arial Black" w:cs="Tahoma"/>
          <w:sz w:val="22"/>
          <w:szCs w:val="22"/>
        </w:rPr>
        <w:t xml:space="preserve">σε </w:t>
      </w:r>
      <w:r w:rsidR="00AA4058" w:rsidRPr="004E68C3">
        <w:rPr>
          <w:rFonts w:ascii="Arial Black" w:hAnsi="Arial Black" w:cs="Tahoma"/>
          <w:sz w:val="22"/>
          <w:szCs w:val="22"/>
        </w:rPr>
        <w:t>οφειλές</w:t>
      </w:r>
      <w:r w:rsidRPr="004E68C3">
        <w:rPr>
          <w:rFonts w:ascii="Arial Black" w:hAnsi="Arial Black" w:cs="Tahoma"/>
          <w:sz w:val="22"/>
          <w:szCs w:val="22"/>
        </w:rPr>
        <w:t xml:space="preserve"> προς το δημόσιο και τον ιδιωτικό τομέα</w:t>
      </w:r>
      <w:r w:rsidR="00AA4058" w:rsidRPr="004E68C3">
        <w:rPr>
          <w:rFonts w:ascii="Arial Black" w:hAnsi="Arial Black" w:cs="Tahoma"/>
          <w:sz w:val="22"/>
          <w:szCs w:val="22"/>
        </w:rPr>
        <w:t>. Πάνω από 3 στις 10 επιχειρήσεις αναμένεται να μην ανταποκριθούν στις φορολογικές και ασφαλιστικές υποχρεώσεις</w:t>
      </w:r>
      <w:r w:rsidR="00C143D9" w:rsidRPr="004E68C3">
        <w:rPr>
          <w:rFonts w:ascii="Arial Black" w:hAnsi="Arial Black" w:cs="Tahoma"/>
          <w:sz w:val="22"/>
          <w:szCs w:val="22"/>
        </w:rPr>
        <w:t xml:space="preserve"> τους</w:t>
      </w:r>
      <w:r w:rsidR="00646631" w:rsidRPr="004E68C3">
        <w:rPr>
          <w:rFonts w:ascii="Arial Black" w:hAnsi="Arial Black" w:cs="Tahoma"/>
          <w:sz w:val="22"/>
          <w:szCs w:val="22"/>
        </w:rPr>
        <w:t xml:space="preserve"> για το 2017</w:t>
      </w:r>
      <w:r w:rsidR="00AA4058" w:rsidRPr="004E68C3">
        <w:rPr>
          <w:rFonts w:ascii="Arial Black" w:hAnsi="Arial Black" w:cs="Tahoma"/>
          <w:sz w:val="22"/>
          <w:szCs w:val="22"/>
        </w:rPr>
        <w:t>.</w:t>
      </w:r>
      <w:r w:rsidR="00AA4058" w:rsidRPr="004E68C3">
        <w:rPr>
          <w:rFonts w:ascii="Arial Black" w:hAnsi="Arial Black" w:cs="Tahoma"/>
          <w:color w:val="FF0000"/>
          <w:sz w:val="22"/>
          <w:szCs w:val="22"/>
        </w:rPr>
        <w:t xml:space="preserve"> </w:t>
      </w:r>
      <w:r w:rsidRPr="004E68C3">
        <w:rPr>
          <w:rFonts w:ascii="Arial Black" w:hAnsi="Arial Black" w:cs="Tahoma"/>
          <w:sz w:val="22"/>
          <w:szCs w:val="22"/>
        </w:rPr>
        <w:t xml:space="preserve">Αξίζει να σημειωθεί ότι </w:t>
      </w:r>
      <w:r w:rsidR="00500EC9" w:rsidRPr="004E68C3">
        <w:rPr>
          <w:rFonts w:ascii="Arial Black" w:hAnsi="Arial Black" w:cs="Tahoma"/>
          <w:sz w:val="22"/>
          <w:szCs w:val="22"/>
        </w:rPr>
        <w:t>9,3</w:t>
      </w:r>
      <w:r w:rsidRPr="004E68C3">
        <w:rPr>
          <w:rFonts w:ascii="Arial Black" w:hAnsi="Arial Black" w:cs="Tahoma"/>
          <w:sz w:val="22"/>
          <w:szCs w:val="22"/>
        </w:rPr>
        <w:t>%</w:t>
      </w:r>
      <w:r w:rsidR="00500EC9" w:rsidRPr="004E68C3">
        <w:rPr>
          <w:rFonts w:ascii="Arial Black" w:hAnsi="Arial Black" w:cs="Tahoma"/>
          <w:sz w:val="22"/>
          <w:szCs w:val="22"/>
        </w:rPr>
        <w:t xml:space="preserve"> των επιχειρήσεων</w:t>
      </w:r>
      <w:r w:rsidRPr="004E68C3">
        <w:rPr>
          <w:rFonts w:ascii="Arial Black" w:hAnsi="Arial Black" w:cs="Tahoma"/>
          <w:sz w:val="22"/>
          <w:szCs w:val="22"/>
        </w:rPr>
        <w:t xml:space="preserve"> έχει ταυτόχρονα οφειλές σε δημόσιο και ασφαλιστικά ταμεία.</w:t>
      </w:r>
      <w:r w:rsidRPr="004E68C3">
        <w:rPr>
          <w:rFonts w:ascii="Arial Black" w:hAnsi="Arial Black" w:cs="Tahoma"/>
          <w:color w:val="FF0000"/>
          <w:sz w:val="22"/>
          <w:szCs w:val="22"/>
        </w:rPr>
        <w:t xml:space="preserve"> </w:t>
      </w:r>
      <w:r w:rsidRPr="004E68C3">
        <w:rPr>
          <w:rFonts w:ascii="Arial Black" w:hAnsi="Arial Black" w:cs="Tahoma"/>
          <w:sz w:val="22"/>
          <w:szCs w:val="22"/>
        </w:rPr>
        <w:t>Τ</w:t>
      </w:r>
      <w:r w:rsidR="00AA4058" w:rsidRPr="004E68C3">
        <w:rPr>
          <w:rFonts w:ascii="Arial Black" w:hAnsi="Arial Black" w:cs="Tahoma"/>
          <w:sz w:val="22"/>
          <w:szCs w:val="22"/>
        </w:rPr>
        <w:t xml:space="preserve">α συνολικά ληξιπρόθεσμα χρέη νοικοκυριών και </w:t>
      </w:r>
      <w:r w:rsidRPr="004E68C3">
        <w:rPr>
          <w:rFonts w:ascii="Arial Black" w:hAnsi="Arial Black" w:cs="Tahoma"/>
          <w:sz w:val="22"/>
          <w:szCs w:val="22"/>
        </w:rPr>
        <w:t>επιχειρήσεων προς την εφορία,</w:t>
      </w:r>
      <w:r w:rsidR="00AA4058" w:rsidRPr="004E68C3">
        <w:rPr>
          <w:rFonts w:ascii="Arial Black" w:hAnsi="Arial Black" w:cs="Tahoma"/>
          <w:sz w:val="22"/>
          <w:szCs w:val="22"/>
        </w:rPr>
        <w:t xml:space="preserve"> τα ασφαλιστικά ταμεία</w:t>
      </w:r>
      <w:r w:rsidRPr="004E68C3">
        <w:rPr>
          <w:rFonts w:ascii="Arial Black" w:hAnsi="Arial Black" w:cs="Tahoma"/>
          <w:sz w:val="22"/>
          <w:szCs w:val="22"/>
        </w:rPr>
        <w:t xml:space="preserve"> και τις τράπεζες</w:t>
      </w:r>
      <w:r w:rsidR="00AA4058" w:rsidRPr="004E68C3">
        <w:rPr>
          <w:rFonts w:ascii="Arial Black" w:hAnsi="Arial Black" w:cs="Tahoma"/>
          <w:sz w:val="22"/>
          <w:szCs w:val="22"/>
        </w:rPr>
        <w:t xml:space="preserve"> πλέον προσεγγίζουν τα </w:t>
      </w:r>
      <w:r w:rsidR="00322C54" w:rsidRPr="004E68C3">
        <w:rPr>
          <w:rFonts w:ascii="Arial Black" w:hAnsi="Arial Black" w:cs="Tahoma"/>
          <w:sz w:val="22"/>
          <w:szCs w:val="22"/>
        </w:rPr>
        <w:t>22</w:t>
      </w:r>
      <w:r w:rsidR="00BB187F" w:rsidRPr="004E68C3">
        <w:rPr>
          <w:rFonts w:ascii="Arial Black" w:hAnsi="Arial Black" w:cs="Tahoma"/>
          <w:sz w:val="22"/>
          <w:szCs w:val="22"/>
        </w:rPr>
        <w:t>0</w:t>
      </w:r>
      <w:r w:rsidR="00AA4058" w:rsidRPr="004E68C3">
        <w:rPr>
          <w:rFonts w:ascii="Arial Black" w:hAnsi="Arial Black" w:cs="Tahoma"/>
          <w:sz w:val="22"/>
          <w:szCs w:val="22"/>
        </w:rPr>
        <w:t xml:space="preserve"> δις, υπερβαίνουν </w:t>
      </w:r>
      <w:r w:rsidR="00BB187F" w:rsidRPr="004E68C3">
        <w:rPr>
          <w:rFonts w:ascii="Arial Black" w:hAnsi="Arial Black" w:cs="Tahoma"/>
          <w:sz w:val="22"/>
          <w:szCs w:val="22"/>
        </w:rPr>
        <w:t>κατά πολύ</w:t>
      </w:r>
      <w:r w:rsidR="00AA4058" w:rsidRPr="004E68C3">
        <w:rPr>
          <w:rFonts w:ascii="Arial Black" w:hAnsi="Arial Black" w:cs="Tahoma"/>
          <w:sz w:val="22"/>
          <w:szCs w:val="22"/>
        </w:rPr>
        <w:t xml:space="preserve"> το ΑΕΠ της χώρας.  </w:t>
      </w:r>
      <w:r w:rsidRPr="004E68C3">
        <w:rPr>
          <w:rFonts w:ascii="Arial Black" w:hAnsi="Arial Black" w:cs="Tahoma"/>
          <w:sz w:val="22"/>
          <w:szCs w:val="22"/>
        </w:rPr>
        <w:t>Η νομοθετική παρέμβαση για τον εξωδικαστικό μηχανισμό ρύθμισης ιδιωτικού χρέους αποτελεί θετική εξέλιξη, αλλά πρέπει να συμπεριλάβει όλες τις μορφές επιχειρήσεων και όλες τις οφειλές.</w:t>
      </w:r>
    </w:p>
    <w:p w:rsidR="00CF768B" w:rsidRDefault="00CF768B" w:rsidP="00E91253">
      <w:pPr>
        <w:pStyle w:val="aa"/>
        <w:ind w:left="0"/>
        <w:jc w:val="both"/>
        <w:rPr>
          <w:rFonts w:ascii="Arial Black" w:hAnsi="Arial Black" w:cs="Tahoma"/>
          <w:b/>
          <w:i/>
          <w:color w:val="E36C0A" w:themeColor="accent6" w:themeShade="BF"/>
          <w:sz w:val="22"/>
          <w:szCs w:val="22"/>
        </w:rPr>
      </w:pPr>
    </w:p>
    <w:p w:rsidR="00323E37" w:rsidRPr="00B538CB" w:rsidRDefault="00323E37" w:rsidP="00E91253">
      <w:pPr>
        <w:pStyle w:val="aa"/>
        <w:ind w:left="0"/>
        <w:jc w:val="both"/>
        <w:rPr>
          <w:rFonts w:ascii="Arial Black" w:hAnsi="Arial Black" w:cs="Tahoma"/>
          <w:b/>
          <w:i/>
          <w:color w:val="E36C0A" w:themeColor="accent6" w:themeShade="BF"/>
          <w:sz w:val="22"/>
          <w:szCs w:val="22"/>
        </w:rPr>
      </w:pPr>
      <w:r>
        <w:rPr>
          <w:rFonts w:ascii="Arial Black" w:hAnsi="Arial Black" w:cs="Tahoma"/>
          <w:b/>
          <w:i/>
          <w:color w:val="E36C0A" w:themeColor="accent6" w:themeShade="BF"/>
          <w:sz w:val="22"/>
          <w:szCs w:val="22"/>
        </w:rPr>
        <w:t>Ε. ΔΕΙΚΤΕΣ ΒΙΩΣΙΜΟΤΗΤΑΣ- ΛΟΥΚΕΤΑ</w:t>
      </w:r>
    </w:p>
    <w:p w:rsidR="00323E37" w:rsidRDefault="00323E37" w:rsidP="00E91253">
      <w:pPr>
        <w:pStyle w:val="aa"/>
        <w:numPr>
          <w:ilvl w:val="0"/>
          <w:numId w:val="19"/>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323E37">
        <w:rPr>
          <w:rFonts w:ascii="Arial Black" w:hAnsi="Arial Black" w:cs="Tahoma"/>
          <w:sz w:val="22"/>
          <w:szCs w:val="22"/>
        </w:rPr>
        <w:t>Σύμφωνα με στοιχεία του ΓΕΜΗ κατά το χρονικό διάστημα Αύγουστος 2016 – Ιανουάριος 2017 διέκοψαν τη λειτουργία τους 18.410 επιχειρήσεις. Οι εκτιμήσεις του ΙΜΕ με βάση τα ευρήματα της έρευνας του Ιουλίου 2016 υπήρξαν για μία ακόμα φορά μετριοπαθείς καθώς η εκτίμηση ήταν για «κλείσιμο» 18.100 επιχειρήσεων.</w:t>
      </w:r>
    </w:p>
    <w:p w:rsidR="00323E37" w:rsidRDefault="00323E37" w:rsidP="00E91253">
      <w:pPr>
        <w:pStyle w:val="aa"/>
        <w:numPr>
          <w:ilvl w:val="0"/>
          <w:numId w:val="19"/>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323E37">
        <w:rPr>
          <w:rFonts w:ascii="Arial Black" w:hAnsi="Arial Black" w:cs="Tahoma"/>
          <w:sz w:val="22"/>
          <w:szCs w:val="22"/>
        </w:rPr>
        <w:t>Για το επόμενο διάστημα 4 στι</w:t>
      </w:r>
      <w:r w:rsidR="008010D1">
        <w:rPr>
          <w:rFonts w:ascii="Arial Black" w:hAnsi="Arial Black" w:cs="Tahoma"/>
          <w:sz w:val="22"/>
          <w:szCs w:val="22"/>
        </w:rPr>
        <w:t>ς 10 επιχειρήσεις (ποσοστό 40,3</w:t>
      </w:r>
      <w:r w:rsidRPr="00323E37">
        <w:rPr>
          <w:rFonts w:ascii="Arial Black" w:hAnsi="Arial Black" w:cs="Tahoma"/>
          <w:sz w:val="22"/>
          <w:szCs w:val="22"/>
        </w:rPr>
        <w:t>%) θεωρεί αρκετά και πολύ πιθανό ότι θα κλείσει. Το αντίστοιχο ποσοστό είναι ιδιαίτερα υψηλό για τους αυτοαπασχολούμενους (57,4 %) μία ακόμα ένδειξη για περαιτέρω διεύρυνση της αδήλωτης επιχειρηματικής δραστηριότητας.</w:t>
      </w:r>
    </w:p>
    <w:p w:rsidR="00323E37" w:rsidRDefault="00323E37" w:rsidP="00E91253">
      <w:pPr>
        <w:pStyle w:val="aa"/>
        <w:numPr>
          <w:ilvl w:val="0"/>
          <w:numId w:val="19"/>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323E37">
        <w:rPr>
          <w:rFonts w:ascii="Arial Black" w:hAnsi="Arial Black" w:cs="Tahoma"/>
          <w:sz w:val="22"/>
          <w:szCs w:val="22"/>
        </w:rPr>
        <w:t>Ωστόσο, το πραγματικό πρόβλημα βιωσιμότητας έρχεται στην επιφάνεια εάν υπολογίσουμε την ένταση με την οποία εμφανίζεται η προοπτική των «λουκέτων». Πιο συγκεκριμ</w:t>
      </w:r>
      <w:r w:rsidR="00DC1926">
        <w:rPr>
          <w:rFonts w:ascii="Arial Black" w:hAnsi="Arial Black" w:cs="Tahoma"/>
          <w:sz w:val="22"/>
          <w:szCs w:val="22"/>
        </w:rPr>
        <w:t>ένα και με δεδομένο ότι το 10,1</w:t>
      </w:r>
      <w:r w:rsidRPr="00323E37">
        <w:rPr>
          <w:rFonts w:ascii="Arial Black" w:hAnsi="Arial Black" w:cs="Tahoma"/>
          <w:sz w:val="22"/>
          <w:szCs w:val="22"/>
        </w:rPr>
        <w:t xml:space="preserve">% από αυτούς που θεωρούν ότι θα κλείσουν το επόμενο διάστημα τοποθετεί αυτό το ενδεχόμενο στο επόμενο τρίμηνο, η εκτίμηση του ΙΜΕ είναι ότι το </w:t>
      </w:r>
      <w:proofErr w:type="spellStart"/>
      <w:r w:rsidRPr="00323E37">
        <w:rPr>
          <w:rFonts w:ascii="Arial Black" w:hAnsi="Arial Black" w:cs="Tahoma"/>
          <w:sz w:val="22"/>
          <w:szCs w:val="22"/>
        </w:rPr>
        <w:t>α΄</w:t>
      </w:r>
      <w:proofErr w:type="spellEnd"/>
      <w:r w:rsidRPr="00323E37">
        <w:rPr>
          <w:rFonts w:ascii="Arial Black" w:hAnsi="Arial Black" w:cs="Tahoma"/>
          <w:sz w:val="22"/>
          <w:szCs w:val="22"/>
        </w:rPr>
        <w:t xml:space="preserve"> εξάμηνο του 2017 θα διακόψουν τη λειτουργία τους 18.700 επιχειρήσεις. Επιπρόσθετα, υπογραμμίζεται ότι τα «λουκέτα» θα συγκεντρωθούν σε επιχειρήσεις της Αττικής και στον κλάδο της μεταποίησης</w:t>
      </w:r>
      <w:r>
        <w:rPr>
          <w:rFonts w:ascii="Arial Black" w:hAnsi="Arial Black" w:cs="Tahoma"/>
          <w:sz w:val="22"/>
          <w:szCs w:val="22"/>
        </w:rPr>
        <w:t>.</w:t>
      </w:r>
    </w:p>
    <w:p w:rsidR="00323E37" w:rsidRPr="00323E37" w:rsidRDefault="00323E37" w:rsidP="00E91253">
      <w:pPr>
        <w:pStyle w:val="aa"/>
        <w:numPr>
          <w:ilvl w:val="0"/>
          <w:numId w:val="19"/>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323E37">
        <w:rPr>
          <w:rFonts w:ascii="Arial Black" w:hAnsi="Arial Black" w:cs="Tahoma"/>
          <w:sz w:val="22"/>
          <w:szCs w:val="22"/>
        </w:rPr>
        <w:t xml:space="preserve">Σύμφωνα με τις εκτιμήσεις του ΙΜΕ ΓΣΕΒΕΕ τα πιθανά λουκέτα επιχειρήσεων, που βρίσκονται στο «κόκκινο» συνεπάγονται υψηλό κίνδυνο απώλειας </w:t>
      </w:r>
      <w:r w:rsidR="0094534E" w:rsidRPr="0094534E">
        <w:rPr>
          <w:rFonts w:ascii="Arial Black" w:hAnsi="Arial Black" w:cs="Tahoma"/>
          <w:sz w:val="22"/>
          <w:szCs w:val="22"/>
        </w:rPr>
        <w:t>34</w:t>
      </w:r>
      <w:r w:rsidRPr="0094534E">
        <w:rPr>
          <w:rFonts w:ascii="Arial Black" w:hAnsi="Arial Black" w:cs="Tahoma"/>
          <w:sz w:val="22"/>
          <w:szCs w:val="22"/>
        </w:rPr>
        <w:t>,000</w:t>
      </w:r>
      <w:r w:rsidRPr="00323E37">
        <w:rPr>
          <w:rFonts w:ascii="Arial Black" w:hAnsi="Arial Black" w:cs="Tahoma"/>
          <w:sz w:val="22"/>
          <w:szCs w:val="22"/>
        </w:rPr>
        <w:t xml:space="preserve"> θέσεων συνολικής απασχόλησης (εργοδότες, αυτοαπασχολούμενοι, μισθωτοί).</w:t>
      </w:r>
    </w:p>
    <w:p w:rsidR="00323E37" w:rsidRDefault="00323E37" w:rsidP="00E91253">
      <w:pPr>
        <w:pStyle w:val="aa"/>
        <w:ind w:left="0"/>
        <w:jc w:val="both"/>
        <w:rPr>
          <w:rFonts w:ascii="Arial Black" w:hAnsi="Arial Black" w:cs="Tahoma"/>
          <w:b/>
          <w:i/>
          <w:color w:val="E36C0A" w:themeColor="accent6" w:themeShade="BF"/>
          <w:sz w:val="22"/>
          <w:szCs w:val="22"/>
        </w:rPr>
      </w:pPr>
    </w:p>
    <w:p w:rsidR="00323E37" w:rsidRPr="00B538CB" w:rsidRDefault="00323E37" w:rsidP="00E91253">
      <w:pPr>
        <w:pStyle w:val="aa"/>
        <w:ind w:left="0"/>
        <w:jc w:val="both"/>
        <w:rPr>
          <w:rFonts w:ascii="Arial Black" w:hAnsi="Arial Black" w:cs="Tahoma"/>
          <w:b/>
          <w:i/>
          <w:color w:val="E36C0A" w:themeColor="accent6" w:themeShade="BF"/>
          <w:sz w:val="22"/>
          <w:szCs w:val="22"/>
        </w:rPr>
      </w:pPr>
      <w:r>
        <w:rPr>
          <w:rFonts w:ascii="Arial Black" w:hAnsi="Arial Black" w:cs="Tahoma"/>
          <w:b/>
          <w:i/>
          <w:color w:val="E36C0A" w:themeColor="accent6" w:themeShade="BF"/>
          <w:sz w:val="22"/>
          <w:szCs w:val="22"/>
        </w:rPr>
        <w:t>ΣΤ</w:t>
      </w:r>
      <w:r w:rsidRPr="001C038D">
        <w:rPr>
          <w:rFonts w:ascii="Arial Black" w:hAnsi="Arial Black" w:cs="Tahoma"/>
          <w:b/>
          <w:i/>
          <w:color w:val="E36C0A" w:themeColor="accent6" w:themeShade="BF"/>
          <w:sz w:val="22"/>
          <w:szCs w:val="22"/>
        </w:rPr>
        <w:t>. ΕΙΔΙΚ</w:t>
      </w:r>
      <w:r>
        <w:rPr>
          <w:rFonts w:ascii="Arial Black" w:hAnsi="Arial Black" w:cs="Tahoma"/>
          <w:b/>
          <w:i/>
          <w:color w:val="E36C0A" w:themeColor="accent6" w:themeShade="BF"/>
          <w:sz w:val="22"/>
          <w:szCs w:val="22"/>
        </w:rPr>
        <w:t xml:space="preserve">Ο ΘΕΜΑ </w:t>
      </w:r>
      <w:r w:rsidRPr="001C038D">
        <w:rPr>
          <w:rFonts w:ascii="Arial Black" w:hAnsi="Arial Black" w:cs="Tahoma"/>
          <w:b/>
          <w:i/>
          <w:color w:val="E36C0A" w:themeColor="accent6" w:themeShade="BF"/>
          <w:sz w:val="22"/>
          <w:szCs w:val="22"/>
        </w:rPr>
        <w:t xml:space="preserve">ΜΙΚΡΩΝ ΕΠΙΧΕΙΡΗΣΕΩΝ- </w:t>
      </w:r>
      <w:r>
        <w:rPr>
          <w:rFonts w:ascii="Arial Black" w:hAnsi="Arial Black" w:cs="Tahoma"/>
          <w:b/>
          <w:i/>
          <w:color w:val="E36C0A" w:themeColor="accent6" w:themeShade="BF"/>
          <w:sz w:val="22"/>
          <w:szCs w:val="22"/>
        </w:rPr>
        <w:t>ΑΣΦΑΛΙΣΤΙΚΟ</w:t>
      </w:r>
    </w:p>
    <w:p w:rsidR="00323E37" w:rsidRPr="00323E37" w:rsidRDefault="00323E37" w:rsidP="00E91253">
      <w:pPr>
        <w:pStyle w:val="aa"/>
        <w:numPr>
          <w:ilvl w:val="0"/>
          <w:numId w:val="47"/>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323E37">
        <w:rPr>
          <w:rFonts w:ascii="Arial Black" w:hAnsi="Arial Black" w:cs="Tahoma"/>
          <w:sz w:val="22"/>
          <w:szCs w:val="22"/>
        </w:rPr>
        <w:t>Σε σχέση με τις νέες ρυθ</w:t>
      </w:r>
      <w:r>
        <w:rPr>
          <w:rFonts w:ascii="Arial Black" w:hAnsi="Arial Black" w:cs="Tahoma"/>
          <w:sz w:val="22"/>
          <w:szCs w:val="22"/>
        </w:rPr>
        <w:t>μίσεις του ασφαλιστικού το 73,3</w:t>
      </w:r>
      <w:r w:rsidRPr="00323E37">
        <w:rPr>
          <w:rFonts w:ascii="Arial Black" w:hAnsi="Arial Black" w:cs="Tahoma"/>
          <w:sz w:val="22"/>
          <w:szCs w:val="22"/>
        </w:rPr>
        <w:t xml:space="preserve">% των επιχειρηματιών εκτιμά ότι θα καταβάλει </w:t>
      </w:r>
      <w:r>
        <w:rPr>
          <w:rFonts w:ascii="Arial Black" w:hAnsi="Arial Black" w:cs="Tahoma"/>
          <w:sz w:val="22"/>
          <w:szCs w:val="22"/>
        </w:rPr>
        <w:t>λιγότερες εισφορές ενώ το 25,8</w:t>
      </w:r>
      <w:r w:rsidRPr="00323E37">
        <w:rPr>
          <w:rFonts w:ascii="Arial Black" w:hAnsi="Arial Black" w:cs="Tahoma"/>
          <w:sz w:val="22"/>
          <w:szCs w:val="22"/>
        </w:rPr>
        <w:t xml:space="preserve">% εκτιμά ότι θα καταβάλει υψηλότερες εισφορές. Το εύρημα αυτό είναι συμβατό και με το αντίστοιχο εύρημα, </w:t>
      </w:r>
      <w:r w:rsidRPr="00323E37">
        <w:rPr>
          <w:rFonts w:ascii="Arial Black" w:hAnsi="Arial Black" w:cs="Tahoma"/>
          <w:sz w:val="22"/>
          <w:szCs w:val="22"/>
        </w:rPr>
        <w:lastRenderedPageBreak/>
        <w:t>σύμφωνα με το οποίο περίπου τ</w:t>
      </w:r>
      <w:r>
        <w:rPr>
          <w:rFonts w:ascii="Arial Black" w:hAnsi="Arial Black" w:cs="Tahoma"/>
          <w:sz w:val="22"/>
          <w:szCs w:val="22"/>
        </w:rPr>
        <w:t>ο 76</w:t>
      </w:r>
      <w:r w:rsidRPr="00323E37">
        <w:rPr>
          <w:rFonts w:ascii="Arial Black" w:hAnsi="Arial Black" w:cs="Tahoma"/>
          <w:sz w:val="22"/>
          <w:szCs w:val="22"/>
        </w:rPr>
        <w:t xml:space="preserve">% των επιχειρηματιών δήλωσε ότι για το 2016 είχε ετήσια κέρδη μέχρι 20.000 ευρώ. Ας σημειωθεί </w:t>
      </w:r>
      <w:r>
        <w:rPr>
          <w:rFonts w:ascii="Arial Black" w:hAnsi="Arial Black" w:cs="Tahoma"/>
          <w:sz w:val="22"/>
          <w:szCs w:val="22"/>
        </w:rPr>
        <w:t>ότι από αυτό το ποσοστό το 44,5</w:t>
      </w:r>
      <w:r w:rsidRPr="00323E37">
        <w:rPr>
          <w:rFonts w:ascii="Arial Black" w:hAnsi="Arial Black" w:cs="Tahoma"/>
          <w:sz w:val="22"/>
          <w:szCs w:val="22"/>
        </w:rPr>
        <w:t xml:space="preserve">% δήλωσε ότι έκλεισε τη χρήση του 2016 με ζημίες. </w:t>
      </w:r>
    </w:p>
    <w:p w:rsidR="00323E37" w:rsidRPr="004E68C3" w:rsidRDefault="00323E37" w:rsidP="00E91253">
      <w:pPr>
        <w:pStyle w:val="aa"/>
        <w:numPr>
          <w:ilvl w:val="0"/>
          <w:numId w:val="47"/>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4E68C3">
        <w:rPr>
          <w:rFonts w:ascii="Arial Black" w:hAnsi="Arial Black" w:cs="Tahoma"/>
          <w:sz w:val="22"/>
          <w:szCs w:val="22"/>
        </w:rPr>
        <w:t xml:space="preserve">Η κατανομή, πάντως, είτε της ελάφρυνσης – χαμηλότερες εισφορές – είτε της επιβάρυνσης – υψηλότερες εισφορές – δεν είναι ισομερής. Ειδικότερα, το ποσοστό αυτών που καταβάλουν υψηλότερες εισφορές </w:t>
      </w:r>
      <w:r w:rsidR="004E68C3" w:rsidRPr="004E68C3">
        <w:rPr>
          <w:rFonts w:ascii="Arial Black" w:hAnsi="Arial Black" w:cs="Tahoma"/>
          <w:sz w:val="22"/>
          <w:szCs w:val="22"/>
        </w:rPr>
        <w:t>κυμαίνεται από το 21,2</w:t>
      </w:r>
      <w:r w:rsidRPr="004E68C3">
        <w:rPr>
          <w:rFonts w:ascii="Arial Black" w:hAnsi="Arial Black" w:cs="Tahoma"/>
          <w:sz w:val="22"/>
          <w:szCs w:val="22"/>
        </w:rPr>
        <w:t>% για τους α</w:t>
      </w:r>
      <w:r w:rsidR="004E68C3" w:rsidRPr="004E68C3">
        <w:rPr>
          <w:rFonts w:ascii="Arial Black" w:hAnsi="Arial Black" w:cs="Tahoma"/>
          <w:sz w:val="22"/>
          <w:szCs w:val="22"/>
        </w:rPr>
        <w:t xml:space="preserve">υτοαπασχολούμενους έως </w:t>
      </w:r>
      <w:r w:rsidRPr="004E68C3">
        <w:rPr>
          <w:rFonts w:ascii="Arial Black" w:hAnsi="Arial Black" w:cs="Tahoma"/>
          <w:sz w:val="22"/>
          <w:szCs w:val="22"/>
        </w:rPr>
        <w:t>το 31,6% για τις επιχειρήσεις στον κλάδο του εμπορίου</w:t>
      </w:r>
      <w:r w:rsidR="004E68C3" w:rsidRPr="004E68C3">
        <w:rPr>
          <w:rFonts w:ascii="Arial Black" w:hAnsi="Arial Black" w:cs="Tahoma"/>
          <w:sz w:val="22"/>
          <w:szCs w:val="22"/>
        </w:rPr>
        <w:t xml:space="preserve"> (χαμηλότερες εισφορές για το 77,6% και 65,8% αντίστοιχα)</w:t>
      </w:r>
      <w:r w:rsidRPr="004E68C3">
        <w:rPr>
          <w:rFonts w:ascii="Arial Black" w:hAnsi="Arial Black" w:cs="Tahoma"/>
          <w:sz w:val="22"/>
          <w:szCs w:val="22"/>
        </w:rPr>
        <w:t xml:space="preserve">. </w:t>
      </w:r>
    </w:p>
    <w:p w:rsidR="00323E37" w:rsidRDefault="00323E37" w:rsidP="00E91253">
      <w:pPr>
        <w:pStyle w:val="aa"/>
        <w:ind w:left="0"/>
        <w:jc w:val="both"/>
        <w:rPr>
          <w:rFonts w:ascii="Arial Black" w:hAnsi="Arial Black" w:cs="Tahoma"/>
          <w:b/>
          <w:i/>
          <w:color w:val="E36C0A" w:themeColor="accent6" w:themeShade="BF"/>
          <w:sz w:val="22"/>
          <w:szCs w:val="22"/>
        </w:rPr>
      </w:pPr>
    </w:p>
    <w:p w:rsidR="00B538CB" w:rsidRPr="00B538CB" w:rsidRDefault="00323E37" w:rsidP="00E91253">
      <w:pPr>
        <w:pStyle w:val="aa"/>
        <w:ind w:left="0"/>
        <w:jc w:val="both"/>
        <w:rPr>
          <w:rFonts w:ascii="Arial Black" w:hAnsi="Arial Black" w:cs="Tahoma"/>
          <w:b/>
          <w:i/>
          <w:color w:val="E36C0A" w:themeColor="accent6" w:themeShade="BF"/>
          <w:sz w:val="22"/>
          <w:szCs w:val="22"/>
        </w:rPr>
      </w:pPr>
      <w:r>
        <w:rPr>
          <w:rFonts w:ascii="Arial Black" w:hAnsi="Arial Black" w:cs="Tahoma"/>
          <w:b/>
          <w:i/>
          <w:color w:val="E36C0A" w:themeColor="accent6" w:themeShade="BF"/>
          <w:sz w:val="22"/>
          <w:szCs w:val="22"/>
        </w:rPr>
        <w:t>Ζ</w:t>
      </w:r>
      <w:r w:rsidR="00E63193" w:rsidRPr="001C038D">
        <w:rPr>
          <w:rFonts w:ascii="Arial Black" w:hAnsi="Arial Black" w:cs="Tahoma"/>
          <w:b/>
          <w:i/>
          <w:color w:val="E36C0A" w:themeColor="accent6" w:themeShade="BF"/>
          <w:sz w:val="22"/>
          <w:szCs w:val="22"/>
        </w:rPr>
        <w:t xml:space="preserve">. </w:t>
      </w:r>
      <w:r w:rsidR="00202EA2" w:rsidRPr="001C038D">
        <w:rPr>
          <w:rFonts w:ascii="Arial Black" w:hAnsi="Arial Black" w:cs="Tahoma"/>
          <w:b/>
          <w:i/>
          <w:color w:val="E36C0A" w:themeColor="accent6" w:themeShade="BF"/>
          <w:sz w:val="22"/>
          <w:szCs w:val="22"/>
        </w:rPr>
        <w:t>ΕΙΔΙΚ</w:t>
      </w:r>
      <w:r w:rsidR="00500EC9">
        <w:rPr>
          <w:rFonts w:ascii="Arial Black" w:hAnsi="Arial Black" w:cs="Tahoma"/>
          <w:b/>
          <w:i/>
          <w:color w:val="E36C0A" w:themeColor="accent6" w:themeShade="BF"/>
          <w:sz w:val="22"/>
          <w:szCs w:val="22"/>
        </w:rPr>
        <w:t xml:space="preserve">Ο ΘΕΜΑ </w:t>
      </w:r>
      <w:r w:rsidR="00202EA2" w:rsidRPr="001C038D">
        <w:rPr>
          <w:rFonts w:ascii="Arial Black" w:hAnsi="Arial Black" w:cs="Tahoma"/>
          <w:b/>
          <w:i/>
          <w:color w:val="E36C0A" w:themeColor="accent6" w:themeShade="BF"/>
          <w:sz w:val="22"/>
          <w:szCs w:val="22"/>
        </w:rPr>
        <w:t>ΜΙΚΡΩΝ ΕΠΙΧΕΙΡΗΣΕΩΝ</w:t>
      </w:r>
      <w:r w:rsidR="00C242C6" w:rsidRPr="001C038D">
        <w:rPr>
          <w:rFonts w:ascii="Arial Black" w:hAnsi="Arial Black" w:cs="Tahoma"/>
          <w:b/>
          <w:i/>
          <w:color w:val="E36C0A" w:themeColor="accent6" w:themeShade="BF"/>
          <w:sz w:val="22"/>
          <w:szCs w:val="22"/>
        </w:rPr>
        <w:t xml:space="preserve">- </w:t>
      </w:r>
      <w:r w:rsidR="006E1FB6">
        <w:rPr>
          <w:rFonts w:ascii="Arial Black" w:hAnsi="Arial Black" w:cs="Tahoma"/>
          <w:b/>
          <w:i/>
          <w:color w:val="E36C0A" w:themeColor="accent6" w:themeShade="BF"/>
          <w:sz w:val="22"/>
          <w:szCs w:val="22"/>
        </w:rPr>
        <w:t>ΕΜΠΟΡΙΟ &amp; ΗΛΕΚΤΡΟΝΙΚΕΣ ΣΥΝΑΛΛΑΓΕΣ</w:t>
      </w:r>
    </w:p>
    <w:p w:rsidR="00E91253" w:rsidRDefault="00E91253" w:rsidP="001A1C91">
      <w:pPr>
        <w:pStyle w:val="aa"/>
        <w:numPr>
          <w:ilvl w:val="0"/>
          <w:numId w:val="48"/>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E91253">
        <w:rPr>
          <w:rFonts w:ascii="Arial Black" w:hAnsi="Arial Black" w:cs="Tahoma"/>
          <w:sz w:val="22"/>
          <w:szCs w:val="22"/>
        </w:rPr>
        <w:t>Από τον Ιούνιο του 2015 και μετά οι μικρές και πολύ μικρές επιχειρήσεις που έχουν υιοθετήσει το σύστημα των ηλεκτρονικών συναλλαγών έχουν αυξηθεί θεαματικά. Πιο συγκεκριμένα, οι επιχειρήσεις που χρησιμοποιούν e-</w:t>
      </w:r>
      <w:proofErr w:type="spellStart"/>
      <w:r w:rsidRPr="00E91253">
        <w:rPr>
          <w:rFonts w:ascii="Arial Black" w:hAnsi="Arial Black" w:cs="Tahoma"/>
          <w:sz w:val="22"/>
          <w:szCs w:val="22"/>
        </w:rPr>
        <w:t>banking</w:t>
      </w:r>
      <w:proofErr w:type="spellEnd"/>
      <w:r w:rsidRPr="00E91253">
        <w:rPr>
          <w:rFonts w:ascii="Arial Black" w:hAnsi="Arial Black" w:cs="Tahoma"/>
          <w:sz w:val="22"/>
          <w:szCs w:val="22"/>
        </w:rPr>
        <w:t xml:space="preserve"> αυξήθηκαν από τον Ιούλιο 2015 μέχρι τ</w:t>
      </w:r>
      <w:r>
        <w:rPr>
          <w:rFonts w:ascii="Arial Black" w:hAnsi="Arial Black" w:cs="Tahoma"/>
          <w:sz w:val="22"/>
          <w:szCs w:val="22"/>
        </w:rPr>
        <w:t>ον Φεβρουάριο του 2017 από 48,5% σε 66,8</w:t>
      </w:r>
      <w:r w:rsidRPr="00E91253">
        <w:rPr>
          <w:rFonts w:ascii="Arial Black" w:hAnsi="Arial Black" w:cs="Tahoma"/>
          <w:sz w:val="22"/>
          <w:szCs w:val="22"/>
        </w:rPr>
        <w:t>%. Παράλληλα και κατά το ίδιο χρονικό διάστημα οι επιχειρήσεις που διαθέτουν μηχάνημα για συναλλαγές με πιστωτικές ή χρεωστικές κάρτ</w:t>
      </w:r>
      <w:r>
        <w:rPr>
          <w:rFonts w:ascii="Arial Black" w:hAnsi="Arial Black" w:cs="Tahoma"/>
          <w:sz w:val="22"/>
          <w:szCs w:val="22"/>
        </w:rPr>
        <w:t>ες αυξήθηκαν από 28,1 % σε 52,4</w:t>
      </w:r>
      <w:r w:rsidRPr="00E91253">
        <w:rPr>
          <w:rFonts w:ascii="Arial Black" w:hAnsi="Arial Black" w:cs="Tahoma"/>
          <w:sz w:val="22"/>
          <w:szCs w:val="22"/>
        </w:rPr>
        <w:t>%.</w:t>
      </w:r>
    </w:p>
    <w:p w:rsidR="00E91253" w:rsidRDefault="00E91253" w:rsidP="001A1C91">
      <w:pPr>
        <w:pStyle w:val="aa"/>
        <w:numPr>
          <w:ilvl w:val="0"/>
          <w:numId w:val="48"/>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E91253">
        <w:rPr>
          <w:rFonts w:ascii="Arial Black" w:hAnsi="Arial Black" w:cs="Tahoma"/>
          <w:sz w:val="22"/>
          <w:szCs w:val="22"/>
        </w:rPr>
        <w:t>Σύμφωνα με στοιχεία της Ένωσης Ελληνικών Τραπεζών, ο αριθμός των διαθέσιμων τερματικών επανήλθε στα επίπεδα προ κρίσης (περίπου στα 410,000 τερματικά υπάρχουν σήμερα στην αγορά), καθώς διευρύνθηκε ο αριθμός των επιχειρήσεων που το χρησιμοποιούν, μετά από μια φάση δραματικής συρρίκνωσης (2010-2014)  που οφειλόταν στο κλείσιμο πολλών επιχειρήσεων αλλά και στον περιορισμό του αριθμού τους ανά επιχείρηση.</w:t>
      </w:r>
    </w:p>
    <w:p w:rsidR="00E91253" w:rsidRPr="00E91253" w:rsidRDefault="00E91253" w:rsidP="001A1C91">
      <w:pPr>
        <w:pStyle w:val="aa"/>
        <w:numPr>
          <w:ilvl w:val="0"/>
          <w:numId w:val="48"/>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E91253">
        <w:rPr>
          <w:rFonts w:ascii="Arial Black" w:hAnsi="Arial Black" w:cs="Tahoma"/>
          <w:sz w:val="22"/>
          <w:szCs w:val="22"/>
        </w:rPr>
        <w:t>Σημαντικό είναι και το εύρημα που αναφέρεται στο ποσοστό του κύκλου των εργασιών που διενεργείται μέσω ηλεκτρονικών συναλλαγών. Ειδικότερα, στις μικρές και πολύ μικρές επιχειρήσεις το ένα τρίτο του κύκλου τ</w:t>
      </w:r>
      <w:r w:rsidR="008E45E1">
        <w:rPr>
          <w:rFonts w:ascii="Arial Black" w:hAnsi="Arial Black" w:cs="Tahoma"/>
          <w:sz w:val="22"/>
          <w:szCs w:val="22"/>
        </w:rPr>
        <w:t>ων εργασιών τους (ποσοστό 33,22</w:t>
      </w:r>
      <w:bookmarkStart w:id="0" w:name="_GoBack"/>
      <w:bookmarkEnd w:id="0"/>
      <w:r w:rsidRPr="00E91253">
        <w:rPr>
          <w:rFonts w:ascii="Arial Black" w:hAnsi="Arial Black" w:cs="Tahoma"/>
          <w:sz w:val="22"/>
          <w:szCs w:val="22"/>
        </w:rPr>
        <w:t>%) διενεργείται μέσω ηλεκτρονικών συναλλαγών.</w:t>
      </w:r>
    </w:p>
    <w:p w:rsidR="00331FFB" w:rsidRPr="00E91253" w:rsidRDefault="00331FFB" w:rsidP="001A1C91">
      <w:pPr>
        <w:pStyle w:val="aa"/>
        <w:numPr>
          <w:ilvl w:val="0"/>
          <w:numId w:val="48"/>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331FFB">
        <w:rPr>
          <w:rFonts w:ascii="Arial Black" w:hAnsi="Arial Black" w:cs="Tahoma"/>
          <w:sz w:val="22"/>
          <w:szCs w:val="22"/>
        </w:rPr>
        <w:t>Ωστόσο, το τελευταίο εξάμηνο παρατηρείται ανάσχεση της αυξητικής τάσης των επιχειρήσεων που διαθέτουν ηλεκτρονικά μέσα πληρωμής, καθώς το ποσοστό των επιχειρήσεων που διαθέτει e-</w:t>
      </w:r>
      <w:proofErr w:type="spellStart"/>
      <w:r w:rsidRPr="00331FFB">
        <w:rPr>
          <w:rFonts w:ascii="Arial Black" w:hAnsi="Arial Black" w:cs="Tahoma"/>
          <w:sz w:val="22"/>
          <w:szCs w:val="22"/>
        </w:rPr>
        <w:t>banking</w:t>
      </w:r>
      <w:proofErr w:type="spellEnd"/>
      <w:r w:rsidRPr="00331FFB">
        <w:rPr>
          <w:rFonts w:ascii="Arial Black" w:hAnsi="Arial Black" w:cs="Tahoma"/>
          <w:sz w:val="22"/>
          <w:szCs w:val="22"/>
        </w:rPr>
        <w:t xml:space="preserve"> ανήλθε μόλις στο 68,8% (από 66,4% τον Ιούλιο 2016) ενώ το ποσοστό εκείνων που διαθέτουν τερματικό</w:t>
      </w:r>
      <w:r>
        <w:rPr>
          <w:rFonts w:ascii="Arial Black" w:hAnsi="Arial Black" w:cs="Tahoma"/>
          <w:sz w:val="22"/>
          <w:szCs w:val="22"/>
        </w:rPr>
        <w:t xml:space="preserve"> POS ανήλθε στο 52,4% (από 49%).</w:t>
      </w:r>
      <w:r w:rsidR="00E91253">
        <w:rPr>
          <w:rFonts w:ascii="Arial Black" w:hAnsi="Arial Black" w:cs="Tahoma"/>
          <w:sz w:val="22"/>
          <w:szCs w:val="22"/>
        </w:rPr>
        <w:t xml:space="preserve"> </w:t>
      </w:r>
      <w:r w:rsidRPr="00E91253">
        <w:rPr>
          <w:rFonts w:ascii="Arial Black" w:hAnsi="Arial Black" w:cs="Tahoma"/>
          <w:sz w:val="22"/>
          <w:szCs w:val="22"/>
        </w:rPr>
        <w:t xml:space="preserve">Οι παράγοντες που οδήγησαν σε αυτή την ανασχετική τάση σχετίζονται ασφαλώς με την έλλειψη ενός πλαισίου προστασίας της επιχείρησης από κατασχέσεις/ δεσμεύσεις λογαριασμών,  η καθυστέρηση στην εφαρμογή του ακατάσχετου επαγγελματικού λογαριασμού, το έλλειμμα στο θεσμικό πλαίσιο για το ηλεκτρονικό εμπόριο και τις πλατφόρμες συναλλαγών, το υψηλό διοικητικό κόστος από την εισαγωγή συστημάτων ηλεκτρονικής τιμολόγησης, τα αυξημένα κόστη τραπεζικών προμηθειών. </w:t>
      </w:r>
    </w:p>
    <w:p w:rsidR="00B35EFC" w:rsidRDefault="00331FFB" w:rsidP="001A1C91">
      <w:pPr>
        <w:pStyle w:val="aa"/>
        <w:numPr>
          <w:ilvl w:val="0"/>
          <w:numId w:val="48"/>
        </w:numPr>
        <w:pBdr>
          <w:top w:val="single" w:sz="4" w:space="0" w:color="auto"/>
          <w:left w:val="single" w:sz="4" w:space="4" w:color="auto"/>
          <w:bottom w:val="single" w:sz="4" w:space="1" w:color="auto"/>
          <w:right w:val="single" w:sz="4" w:space="4" w:color="auto"/>
        </w:pBdr>
        <w:ind w:left="0" w:firstLine="0"/>
        <w:jc w:val="both"/>
        <w:rPr>
          <w:rFonts w:ascii="Arial Black" w:hAnsi="Arial Black" w:cs="Tahoma"/>
          <w:sz w:val="22"/>
          <w:szCs w:val="22"/>
        </w:rPr>
      </w:pPr>
      <w:r w:rsidRPr="00331FFB">
        <w:rPr>
          <w:rFonts w:ascii="Arial Black" w:hAnsi="Arial Black" w:cs="Tahoma"/>
          <w:sz w:val="22"/>
          <w:szCs w:val="22"/>
        </w:rPr>
        <w:t>Οι υψηλές χρεώσεις των τραπεζών δρουν ανασταλτικά ως προς την εγκατάσταση τερματικών μηχανών στην επιχείρηση. Πάνω από το 50% των επιχειρήσεων τιμολογείται για τη χρήση τερματικού με ποσοστό άνω του 1% επί του τζίρου, ενώ το 27% πληρώνει περισσότερο από 1,5% του τζίρου. Συνολικά, ο μέσος όρος συναλλαγών με τερματικό POS ανέρχεται στο 33% του συνολικού κύκλου εργασιών.</w:t>
      </w:r>
    </w:p>
    <w:p w:rsidR="00500EC9" w:rsidRDefault="00500EC9" w:rsidP="001C038D">
      <w:pPr>
        <w:jc w:val="both"/>
        <w:rPr>
          <w:rFonts w:ascii="Arial Black" w:hAnsi="Arial Black" w:cs="Tahoma"/>
          <w:b/>
          <w:i/>
          <w:color w:val="E36C0A" w:themeColor="accent6" w:themeShade="BF"/>
          <w:sz w:val="22"/>
          <w:szCs w:val="22"/>
        </w:rPr>
      </w:pPr>
    </w:p>
    <w:p w:rsidR="00C02A62" w:rsidRPr="00D00F8B" w:rsidRDefault="004F3707" w:rsidP="00A05F2C">
      <w:pPr>
        <w:jc w:val="both"/>
        <w:rPr>
          <w:rFonts w:ascii="Tahoma" w:hAnsi="Tahoma" w:cs="Tahoma"/>
          <w:b/>
          <w:i/>
          <w:sz w:val="20"/>
          <w:szCs w:val="20"/>
        </w:rPr>
      </w:pPr>
      <w:r w:rsidRPr="00D00F8B">
        <w:rPr>
          <w:rFonts w:ascii="Tahoma" w:hAnsi="Tahoma" w:cs="Tahoma"/>
          <w:sz w:val="20"/>
          <w:szCs w:val="20"/>
        </w:rPr>
        <w:lastRenderedPageBreak/>
        <w:t xml:space="preserve">* </w:t>
      </w:r>
      <w:r w:rsidR="00C02A62" w:rsidRPr="00D00F8B">
        <w:rPr>
          <w:rFonts w:ascii="Tahoma" w:hAnsi="Tahoma" w:cs="Tahoma"/>
          <w:i/>
          <w:sz w:val="20"/>
          <w:szCs w:val="20"/>
        </w:rPr>
        <w:t xml:space="preserve">Η έρευνα που παρουσιάζεται είναι η </w:t>
      </w:r>
      <w:r w:rsidR="00C36F37">
        <w:rPr>
          <w:rFonts w:ascii="Tahoma" w:hAnsi="Tahoma" w:cs="Tahoma"/>
          <w:b/>
          <w:i/>
          <w:sz w:val="20"/>
          <w:szCs w:val="20"/>
        </w:rPr>
        <w:t>πρώτη</w:t>
      </w:r>
      <w:r w:rsidR="004B04BD" w:rsidRPr="00D00F8B">
        <w:rPr>
          <w:rFonts w:ascii="Tahoma" w:hAnsi="Tahoma" w:cs="Tahoma"/>
          <w:b/>
          <w:i/>
          <w:sz w:val="20"/>
          <w:szCs w:val="20"/>
        </w:rPr>
        <w:t xml:space="preserve"> </w:t>
      </w:r>
      <w:r w:rsidR="00C02A62" w:rsidRPr="00D00F8B">
        <w:rPr>
          <w:rFonts w:ascii="Tahoma" w:hAnsi="Tahoma" w:cs="Tahoma"/>
          <w:b/>
          <w:i/>
          <w:sz w:val="20"/>
          <w:szCs w:val="20"/>
        </w:rPr>
        <w:t xml:space="preserve"> </w:t>
      </w:r>
      <w:r w:rsidR="00C36F37">
        <w:rPr>
          <w:rFonts w:ascii="Tahoma" w:hAnsi="Tahoma" w:cs="Tahoma"/>
          <w:i/>
          <w:sz w:val="20"/>
          <w:szCs w:val="20"/>
        </w:rPr>
        <w:t>για το 2017</w:t>
      </w:r>
      <w:r w:rsidR="00C02A62" w:rsidRPr="00D00F8B">
        <w:rPr>
          <w:rFonts w:ascii="Tahoma" w:hAnsi="Tahoma" w:cs="Tahoma"/>
          <w:i/>
          <w:sz w:val="20"/>
          <w:szCs w:val="20"/>
        </w:rPr>
        <w:t xml:space="preserve"> που διεξάγει το Ινστιτούτο Μικρών Επιχειρήσεων της ΓΣΕΒΕΕ σε συνεργασία με την εταιρία </w:t>
      </w:r>
      <w:r w:rsidR="00C02A62" w:rsidRPr="00D00F8B">
        <w:rPr>
          <w:rFonts w:ascii="Tahoma" w:hAnsi="Tahoma" w:cs="Tahoma"/>
          <w:i/>
          <w:sz w:val="20"/>
          <w:szCs w:val="20"/>
          <w:lang w:val="en-US"/>
        </w:rPr>
        <w:t>MARC</w:t>
      </w:r>
      <w:r w:rsidR="00C02A62" w:rsidRPr="00D00F8B">
        <w:rPr>
          <w:rFonts w:ascii="Tahoma" w:hAnsi="Tahoma" w:cs="Tahoma"/>
          <w:i/>
          <w:sz w:val="20"/>
          <w:szCs w:val="20"/>
        </w:rPr>
        <w:t xml:space="preserve"> </w:t>
      </w:r>
      <w:r w:rsidR="00C02A62" w:rsidRPr="00D00F8B">
        <w:rPr>
          <w:rFonts w:ascii="Tahoma" w:hAnsi="Tahoma" w:cs="Tahoma"/>
          <w:i/>
          <w:sz w:val="20"/>
          <w:szCs w:val="20"/>
          <w:lang w:val="en-US"/>
        </w:rPr>
        <w:t>AE</w:t>
      </w:r>
      <w:r w:rsidR="00C02A62" w:rsidRPr="00D00F8B">
        <w:rPr>
          <w:rFonts w:ascii="Tahoma" w:hAnsi="Tahoma" w:cs="Tahoma"/>
          <w:i/>
          <w:sz w:val="20"/>
          <w:szCs w:val="20"/>
        </w:rPr>
        <w:t xml:space="preserve"> σε εξαμηνιαία βάση από τον Μάιο του 2009. Έγινε σε πανελλαδικό δείγμα </w:t>
      </w:r>
      <w:r w:rsidR="00C02A62" w:rsidRPr="00D00F8B">
        <w:rPr>
          <w:rFonts w:ascii="Tahoma" w:hAnsi="Tahoma" w:cs="Tahoma"/>
          <w:b/>
          <w:i/>
          <w:sz w:val="20"/>
          <w:szCs w:val="20"/>
        </w:rPr>
        <w:t>1</w:t>
      </w:r>
      <w:r w:rsidR="00CE38CF" w:rsidRPr="00D00F8B">
        <w:rPr>
          <w:rFonts w:ascii="Tahoma" w:hAnsi="Tahoma" w:cs="Tahoma"/>
          <w:b/>
          <w:i/>
          <w:sz w:val="20"/>
          <w:szCs w:val="20"/>
        </w:rPr>
        <w:t>0</w:t>
      </w:r>
      <w:r w:rsidR="004B04BD" w:rsidRPr="00D00F8B">
        <w:rPr>
          <w:rFonts w:ascii="Tahoma" w:hAnsi="Tahoma" w:cs="Tahoma"/>
          <w:b/>
          <w:i/>
          <w:sz w:val="20"/>
          <w:szCs w:val="20"/>
        </w:rPr>
        <w:t>0</w:t>
      </w:r>
      <w:r w:rsidR="00DC1926">
        <w:rPr>
          <w:rFonts w:ascii="Tahoma" w:hAnsi="Tahoma" w:cs="Tahoma"/>
          <w:b/>
          <w:i/>
          <w:sz w:val="20"/>
          <w:szCs w:val="20"/>
        </w:rPr>
        <w:t>7</w:t>
      </w:r>
      <w:r w:rsidR="00C02A62" w:rsidRPr="00D00F8B">
        <w:rPr>
          <w:rFonts w:ascii="Tahoma" w:hAnsi="Tahoma" w:cs="Tahoma"/>
          <w:i/>
          <w:sz w:val="20"/>
          <w:szCs w:val="20"/>
        </w:rPr>
        <w:t xml:space="preserve"> πολύ μικρών και μικρών επιχειρήσεων (0-49 άτομα προσωπικό), στο διάστημα </w:t>
      </w:r>
      <w:r w:rsidR="00C36F37">
        <w:rPr>
          <w:rFonts w:ascii="Tahoma" w:hAnsi="Tahoma" w:cs="Tahoma"/>
          <w:i/>
          <w:sz w:val="20"/>
          <w:szCs w:val="20"/>
        </w:rPr>
        <w:t>08</w:t>
      </w:r>
      <w:r w:rsidR="00CE38CF" w:rsidRPr="00D00F8B">
        <w:rPr>
          <w:rFonts w:ascii="Tahoma" w:hAnsi="Tahoma" w:cs="Tahoma"/>
          <w:i/>
          <w:sz w:val="20"/>
          <w:szCs w:val="20"/>
        </w:rPr>
        <w:t xml:space="preserve"> έως </w:t>
      </w:r>
      <w:r w:rsidR="00C36F37">
        <w:rPr>
          <w:rFonts w:ascii="Tahoma" w:hAnsi="Tahoma" w:cs="Tahoma"/>
          <w:i/>
          <w:sz w:val="20"/>
          <w:szCs w:val="20"/>
        </w:rPr>
        <w:t>16 Φεβρουαρ</w:t>
      </w:r>
      <w:r w:rsidR="00DE7747" w:rsidRPr="00D00F8B">
        <w:rPr>
          <w:rFonts w:ascii="Tahoma" w:hAnsi="Tahoma" w:cs="Tahoma"/>
          <w:i/>
          <w:sz w:val="20"/>
          <w:szCs w:val="20"/>
        </w:rPr>
        <w:t>ίου</w:t>
      </w:r>
      <w:r w:rsidR="00910FDB" w:rsidRPr="00D00F8B">
        <w:rPr>
          <w:rFonts w:ascii="Tahoma" w:hAnsi="Tahoma" w:cs="Tahoma"/>
          <w:i/>
          <w:sz w:val="20"/>
          <w:szCs w:val="20"/>
        </w:rPr>
        <w:t xml:space="preserve"> </w:t>
      </w:r>
      <w:r w:rsidR="00C02A62" w:rsidRPr="00D00F8B">
        <w:rPr>
          <w:rFonts w:ascii="Tahoma" w:hAnsi="Tahoma" w:cs="Tahoma"/>
          <w:i/>
          <w:sz w:val="20"/>
          <w:szCs w:val="20"/>
        </w:rPr>
        <w:t>201</w:t>
      </w:r>
      <w:r w:rsidR="00C36F37">
        <w:rPr>
          <w:rFonts w:ascii="Tahoma" w:hAnsi="Tahoma" w:cs="Tahoma"/>
          <w:i/>
          <w:sz w:val="20"/>
          <w:szCs w:val="20"/>
        </w:rPr>
        <w:t>7</w:t>
      </w:r>
      <w:r w:rsidR="00C02A62" w:rsidRPr="00D00F8B">
        <w:rPr>
          <w:rFonts w:ascii="Tahoma" w:hAnsi="Tahoma" w:cs="Tahoma"/>
          <w:i/>
          <w:sz w:val="20"/>
          <w:szCs w:val="20"/>
        </w:rPr>
        <w:t xml:space="preserve"> και έχει ως βασικό στόχο την </w:t>
      </w:r>
      <w:r w:rsidR="00C02A62" w:rsidRPr="00D00F8B">
        <w:rPr>
          <w:rFonts w:ascii="Tahoma" w:hAnsi="Tahoma" w:cs="Tahoma"/>
          <w:b/>
          <w:i/>
          <w:sz w:val="20"/>
          <w:szCs w:val="20"/>
        </w:rPr>
        <w:t>αποτύπωση του οικονομικού κλίματος</w:t>
      </w:r>
      <w:r w:rsidR="00C02A62" w:rsidRPr="00D00F8B">
        <w:rPr>
          <w:rFonts w:ascii="Tahoma" w:hAnsi="Tahoma" w:cs="Tahoma"/>
          <w:i/>
          <w:sz w:val="20"/>
          <w:szCs w:val="20"/>
        </w:rPr>
        <w:t xml:space="preserve"> στις πολύ μικρές και μικρές επιχειρήσεις, στους κλάδους της </w:t>
      </w:r>
      <w:r w:rsidR="00C02A62" w:rsidRPr="00D00F8B">
        <w:rPr>
          <w:rFonts w:ascii="Tahoma" w:hAnsi="Tahoma" w:cs="Tahoma"/>
          <w:b/>
          <w:i/>
          <w:sz w:val="20"/>
          <w:szCs w:val="20"/>
        </w:rPr>
        <w:t>μεταποίησης</w:t>
      </w:r>
      <w:r w:rsidR="00C02A62" w:rsidRPr="00D00F8B">
        <w:rPr>
          <w:rFonts w:ascii="Tahoma" w:hAnsi="Tahoma" w:cs="Tahoma"/>
          <w:i/>
          <w:sz w:val="20"/>
          <w:szCs w:val="20"/>
        </w:rPr>
        <w:t xml:space="preserve">, του </w:t>
      </w:r>
      <w:r w:rsidR="00C02A62" w:rsidRPr="00D00F8B">
        <w:rPr>
          <w:rFonts w:ascii="Tahoma" w:hAnsi="Tahoma" w:cs="Tahoma"/>
          <w:b/>
          <w:i/>
          <w:sz w:val="20"/>
          <w:szCs w:val="20"/>
        </w:rPr>
        <w:t>εμπορίου</w:t>
      </w:r>
      <w:r w:rsidR="00C02A62" w:rsidRPr="00D00F8B">
        <w:rPr>
          <w:rFonts w:ascii="Tahoma" w:hAnsi="Tahoma" w:cs="Tahoma"/>
          <w:i/>
          <w:sz w:val="20"/>
          <w:szCs w:val="20"/>
        </w:rPr>
        <w:t xml:space="preserve"> και των </w:t>
      </w:r>
      <w:r w:rsidR="00C02A62" w:rsidRPr="00D00F8B">
        <w:rPr>
          <w:rFonts w:ascii="Tahoma" w:hAnsi="Tahoma" w:cs="Tahoma"/>
          <w:b/>
          <w:i/>
          <w:sz w:val="20"/>
          <w:szCs w:val="20"/>
        </w:rPr>
        <w:t>υπηρεσιών</w:t>
      </w:r>
      <w:r w:rsidR="00C02A62" w:rsidRPr="00D00F8B">
        <w:rPr>
          <w:rFonts w:ascii="Tahoma" w:hAnsi="Tahoma" w:cs="Tahoma"/>
          <w:i/>
          <w:sz w:val="20"/>
          <w:szCs w:val="20"/>
        </w:rPr>
        <w:t xml:space="preserve">, </w:t>
      </w:r>
      <w:r w:rsidR="00C02A62" w:rsidRPr="00D00F8B">
        <w:rPr>
          <w:rFonts w:ascii="Tahoma" w:hAnsi="Tahoma" w:cs="Tahoma"/>
          <w:b/>
          <w:i/>
          <w:sz w:val="20"/>
          <w:szCs w:val="20"/>
        </w:rPr>
        <w:t xml:space="preserve">που αποτελούν το 99,6% των επιχειρήσεων στην Ελλάδα. </w:t>
      </w:r>
      <w:r w:rsidR="00A05F2C" w:rsidRPr="00D00F8B">
        <w:rPr>
          <w:rFonts w:ascii="Tahoma" w:hAnsi="Tahoma" w:cs="Tahoma"/>
          <w:b/>
          <w:i/>
          <w:sz w:val="20"/>
          <w:szCs w:val="20"/>
        </w:rPr>
        <w:t xml:space="preserve"> </w:t>
      </w:r>
      <w:r w:rsidR="00C02A62" w:rsidRPr="00D00F8B">
        <w:rPr>
          <w:rFonts w:ascii="Tahoma" w:hAnsi="Tahoma" w:cs="Tahoma"/>
          <w:i/>
          <w:sz w:val="20"/>
          <w:szCs w:val="20"/>
        </w:rPr>
        <w:t>Τα ευρήματα αυτής της έρευνας μπορούν να συγκριθούν με τα αντίστοιχα των προηγούμενων ερευνών (</w:t>
      </w:r>
      <w:r w:rsidR="004B04BD" w:rsidRPr="00D00F8B">
        <w:rPr>
          <w:rFonts w:ascii="Tahoma" w:hAnsi="Tahoma" w:cs="Tahoma"/>
          <w:i/>
          <w:sz w:val="20"/>
          <w:szCs w:val="20"/>
        </w:rPr>
        <w:t>Μάιος 2009</w:t>
      </w:r>
      <w:r w:rsidR="00C02A62" w:rsidRPr="00D00F8B">
        <w:rPr>
          <w:rFonts w:ascii="Tahoma" w:hAnsi="Tahoma" w:cs="Tahoma"/>
          <w:i/>
          <w:sz w:val="20"/>
          <w:szCs w:val="20"/>
        </w:rPr>
        <w:t xml:space="preserve"> – </w:t>
      </w:r>
      <w:r w:rsidR="00C36F37">
        <w:rPr>
          <w:rFonts w:ascii="Tahoma" w:hAnsi="Tahoma" w:cs="Tahoma"/>
          <w:i/>
          <w:sz w:val="20"/>
          <w:szCs w:val="20"/>
        </w:rPr>
        <w:t>Ιούλιος</w:t>
      </w:r>
      <w:r w:rsidR="00DE7747" w:rsidRPr="00D00F8B">
        <w:rPr>
          <w:rFonts w:ascii="Tahoma" w:hAnsi="Tahoma" w:cs="Tahoma"/>
          <w:i/>
          <w:sz w:val="20"/>
          <w:szCs w:val="20"/>
        </w:rPr>
        <w:t xml:space="preserve"> 2016</w:t>
      </w:r>
      <w:r w:rsidR="00C02A62" w:rsidRPr="00D00F8B">
        <w:rPr>
          <w:rFonts w:ascii="Tahoma" w:hAnsi="Tahoma" w:cs="Tahoma"/>
          <w:i/>
          <w:sz w:val="20"/>
          <w:szCs w:val="20"/>
        </w:rPr>
        <w:t xml:space="preserve">). </w:t>
      </w:r>
      <w:r w:rsidR="00C02A62" w:rsidRPr="00D00F8B">
        <w:rPr>
          <w:rFonts w:ascii="Tahoma" w:hAnsi="Tahoma" w:cs="Tahoma"/>
          <w:b/>
          <w:i/>
          <w:sz w:val="20"/>
          <w:szCs w:val="20"/>
        </w:rPr>
        <w:t xml:space="preserve">Οι έρευνες αυτές αποτελούν το μοναδικό εργαλείο, σε πανελλαδικό επίπεδο, για την καταγραφή της κατάστασης και της πορείας του μεγαλύτερου τμήματος της πραγματικής οικονομίας στην Ελλάδα.  </w:t>
      </w:r>
      <w:r w:rsidR="008A12A3" w:rsidRPr="00D00F8B">
        <w:rPr>
          <w:rFonts w:ascii="Tahoma" w:hAnsi="Tahoma" w:cs="Tahoma"/>
          <w:b/>
          <w:i/>
          <w:sz w:val="20"/>
          <w:szCs w:val="20"/>
        </w:rPr>
        <w:t xml:space="preserve">Τα πρωτογενή δεδομένα οικονομικού </w:t>
      </w:r>
      <w:r w:rsidR="00BD1CD7" w:rsidRPr="00D00F8B">
        <w:rPr>
          <w:rFonts w:ascii="Tahoma" w:hAnsi="Tahoma" w:cs="Tahoma"/>
          <w:b/>
          <w:i/>
          <w:sz w:val="20"/>
          <w:szCs w:val="20"/>
        </w:rPr>
        <w:t xml:space="preserve">και επιχειρηματικών προσδοκιών </w:t>
      </w:r>
      <w:r w:rsidR="008A12A3" w:rsidRPr="00D00F8B">
        <w:rPr>
          <w:rFonts w:ascii="Tahoma" w:hAnsi="Tahoma" w:cs="Tahoma"/>
          <w:b/>
          <w:i/>
          <w:sz w:val="20"/>
          <w:szCs w:val="20"/>
        </w:rPr>
        <w:t>χρησιμοποιούνται από την Ευρωπαϊκή Ένωση των Μικρομεσαίων Επιχειρήσεων για την κατασκευή των δεικτών ευρωπαϊκού</w:t>
      </w:r>
      <w:r w:rsidR="00880D2B" w:rsidRPr="00D00F8B">
        <w:rPr>
          <w:rFonts w:ascii="Tahoma" w:hAnsi="Tahoma" w:cs="Tahoma"/>
          <w:b/>
          <w:i/>
          <w:sz w:val="20"/>
          <w:szCs w:val="20"/>
        </w:rPr>
        <w:t xml:space="preserve"> οικονομικού</w:t>
      </w:r>
      <w:r w:rsidR="008A12A3" w:rsidRPr="00D00F8B">
        <w:rPr>
          <w:rFonts w:ascii="Tahoma" w:hAnsi="Tahoma" w:cs="Tahoma"/>
          <w:b/>
          <w:i/>
          <w:sz w:val="20"/>
          <w:szCs w:val="20"/>
        </w:rPr>
        <w:t xml:space="preserve"> κλίματος και είναι συγκρίσιμα με τα στοιχεία άλλων χωρών της ΕΕ. </w:t>
      </w:r>
    </w:p>
    <w:p w:rsidR="00C02A62" w:rsidRPr="00D00F8B" w:rsidRDefault="00C02A62" w:rsidP="00C02A62">
      <w:pPr>
        <w:pStyle w:val="Web"/>
        <w:spacing w:before="0" w:beforeAutospacing="0" w:after="0" w:afterAutospacing="0"/>
        <w:jc w:val="both"/>
        <w:rPr>
          <w:rFonts w:ascii="Tahoma" w:hAnsi="Tahoma" w:cs="Tahoma"/>
          <w:b/>
          <w:i/>
          <w:sz w:val="20"/>
          <w:szCs w:val="20"/>
        </w:rPr>
      </w:pPr>
    </w:p>
    <w:p w:rsidR="00C02A62" w:rsidRPr="00D00F8B" w:rsidRDefault="00C02A62" w:rsidP="00C02A62">
      <w:pPr>
        <w:pStyle w:val="Web"/>
        <w:spacing w:before="0" w:beforeAutospacing="0" w:after="0" w:afterAutospacing="0"/>
        <w:jc w:val="both"/>
        <w:rPr>
          <w:rFonts w:ascii="Tahoma" w:hAnsi="Tahoma" w:cs="Tahoma"/>
          <w:i/>
          <w:sz w:val="20"/>
          <w:szCs w:val="20"/>
        </w:rPr>
      </w:pPr>
      <w:r w:rsidRPr="00D00F8B">
        <w:rPr>
          <w:rFonts w:ascii="Tahoma" w:hAnsi="Tahoma" w:cs="Tahoma"/>
          <w:i/>
          <w:sz w:val="20"/>
          <w:szCs w:val="20"/>
        </w:rPr>
        <w:t xml:space="preserve">Όπως και στις προηγούμενες έρευνες, έτσι και τώρα, υπάρχει μια σαφής καταγραφή των τάσεων του οικονομικού κλίματος καθώς και η </w:t>
      </w:r>
      <w:r w:rsidRPr="00D00F8B">
        <w:rPr>
          <w:rFonts w:ascii="Tahoma" w:hAnsi="Tahoma" w:cs="Tahoma"/>
          <w:b/>
          <w:i/>
          <w:sz w:val="20"/>
          <w:szCs w:val="20"/>
        </w:rPr>
        <w:t>παρακολούθηση</w:t>
      </w:r>
      <w:r w:rsidRPr="00D00F8B">
        <w:rPr>
          <w:rFonts w:ascii="Tahoma" w:hAnsi="Tahoma" w:cs="Tahoma"/>
          <w:i/>
          <w:sz w:val="20"/>
          <w:szCs w:val="20"/>
        </w:rPr>
        <w:t xml:space="preserve"> των βασικών δεικτών λειτουργίας των μικρών επιχειρήσεων κατά το </w:t>
      </w:r>
      <w:r w:rsidR="00C36F37">
        <w:rPr>
          <w:rFonts w:ascii="Tahoma" w:hAnsi="Tahoma" w:cs="Tahoma"/>
          <w:i/>
          <w:sz w:val="20"/>
          <w:szCs w:val="20"/>
        </w:rPr>
        <w:t>2</w:t>
      </w:r>
      <w:r w:rsidRPr="00D00F8B">
        <w:rPr>
          <w:rFonts w:ascii="Tahoma" w:hAnsi="Tahoma" w:cs="Tahoma"/>
          <w:i/>
          <w:sz w:val="20"/>
          <w:szCs w:val="20"/>
          <w:vertAlign w:val="superscript"/>
        </w:rPr>
        <w:t>ο</w:t>
      </w:r>
      <w:r w:rsidR="00DE7747" w:rsidRPr="00D00F8B">
        <w:rPr>
          <w:rFonts w:ascii="Tahoma" w:hAnsi="Tahoma" w:cs="Tahoma"/>
          <w:i/>
          <w:sz w:val="20"/>
          <w:szCs w:val="20"/>
        </w:rPr>
        <w:t xml:space="preserve"> εξάμηνο του 2016</w:t>
      </w:r>
      <w:r w:rsidRPr="00D00F8B">
        <w:rPr>
          <w:rFonts w:ascii="Tahoma" w:hAnsi="Tahoma" w:cs="Tahoma"/>
          <w:i/>
          <w:sz w:val="20"/>
          <w:szCs w:val="20"/>
        </w:rPr>
        <w:t xml:space="preserve">, ενώ παράλληλα επιχειρείται οικονομική </w:t>
      </w:r>
      <w:r w:rsidRPr="00D00F8B">
        <w:rPr>
          <w:rFonts w:ascii="Tahoma" w:hAnsi="Tahoma" w:cs="Tahoma"/>
          <w:b/>
          <w:i/>
          <w:sz w:val="20"/>
          <w:szCs w:val="20"/>
        </w:rPr>
        <w:t>πρόβλεψη</w:t>
      </w:r>
      <w:r w:rsidRPr="00D00F8B">
        <w:rPr>
          <w:rFonts w:ascii="Tahoma" w:hAnsi="Tahoma" w:cs="Tahoma"/>
          <w:i/>
          <w:sz w:val="20"/>
          <w:szCs w:val="20"/>
        </w:rPr>
        <w:t xml:space="preserve"> για το </w:t>
      </w:r>
      <w:r w:rsidR="00C36F37">
        <w:rPr>
          <w:rFonts w:ascii="Tahoma" w:hAnsi="Tahoma" w:cs="Tahoma"/>
          <w:i/>
          <w:sz w:val="20"/>
          <w:szCs w:val="20"/>
        </w:rPr>
        <w:t>1</w:t>
      </w:r>
      <w:r w:rsidRPr="00D00F8B">
        <w:rPr>
          <w:rFonts w:ascii="Tahoma" w:hAnsi="Tahoma" w:cs="Tahoma"/>
          <w:i/>
          <w:sz w:val="20"/>
          <w:szCs w:val="20"/>
          <w:vertAlign w:val="superscript"/>
        </w:rPr>
        <w:t>ο</w:t>
      </w:r>
      <w:r w:rsidR="002979C9">
        <w:rPr>
          <w:rFonts w:ascii="Tahoma" w:hAnsi="Tahoma" w:cs="Tahoma"/>
          <w:i/>
          <w:sz w:val="20"/>
          <w:szCs w:val="20"/>
        </w:rPr>
        <w:t xml:space="preserve"> εξάμηνο του 2017</w:t>
      </w:r>
      <w:r w:rsidRPr="00D00F8B">
        <w:rPr>
          <w:rFonts w:ascii="Tahoma" w:hAnsi="Tahoma" w:cs="Tahoma"/>
          <w:i/>
          <w:sz w:val="20"/>
          <w:szCs w:val="20"/>
        </w:rPr>
        <w:t>.</w:t>
      </w:r>
    </w:p>
    <w:p w:rsidR="00B640C8" w:rsidRPr="0064755D" w:rsidRDefault="00B640C8" w:rsidP="007428D6">
      <w:pPr>
        <w:jc w:val="both"/>
        <w:rPr>
          <w:sz w:val="28"/>
          <w:szCs w:val="28"/>
        </w:rPr>
      </w:pPr>
      <w:r>
        <w:br w:type="page"/>
      </w:r>
      <w:r w:rsidRPr="007428D6">
        <w:rPr>
          <w:rFonts w:ascii="Arial Black" w:hAnsi="Arial Black" w:cs="Tahoma"/>
          <w:b/>
          <w:i/>
          <w:color w:val="E36C0A" w:themeColor="accent6" w:themeShade="BF"/>
          <w:sz w:val="22"/>
          <w:szCs w:val="22"/>
        </w:rPr>
        <w:lastRenderedPageBreak/>
        <w:t xml:space="preserve">ΑΝΑΛΥΤΙΚΗ ΠΑΡΟΥΣΙΑΣΗ </w:t>
      </w:r>
      <w:r w:rsidR="007428D6">
        <w:rPr>
          <w:rFonts w:ascii="Arial Black" w:hAnsi="Arial Black" w:cs="Tahoma"/>
          <w:b/>
          <w:i/>
          <w:color w:val="E36C0A" w:themeColor="accent6" w:themeShade="BF"/>
          <w:sz w:val="22"/>
          <w:szCs w:val="22"/>
        </w:rPr>
        <w:t xml:space="preserve">- </w:t>
      </w:r>
      <w:r w:rsidRPr="007428D6">
        <w:rPr>
          <w:rFonts w:ascii="Arial Black" w:hAnsi="Arial Black" w:cs="Tahoma"/>
          <w:b/>
          <w:i/>
          <w:color w:val="E36C0A" w:themeColor="accent6" w:themeShade="BF"/>
          <w:sz w:val="22"/>
          <w:szCs w:val="22"/>
        </w:rPr>
        <w:t>ΑΠΟΤΕΛΕΣΜΑΤΑ ΕΡΕΥΝΑΣ</w:t>
      </w:r>
      <w:r w:rsidRPr="0064755D">
        <w:rPr>
          <w:rFonts w:ascii="Arial Narrow" w:hAnsi="Arial Narrow"/>
          <w:sz w:val="28"/>
          <w:szCs w:val="28"/>
        </w:rPr>
        <w:t xml:space="preserve"> </w:t>
      </w:r>
    </w:p>
    <w:p w:rsidR="00B640C8" w:rsidRPr="008F2928" w:rsidRDefault="00B640C8" w:rsidP="008F2928">
      <w:pPr>
        <w:jc w:val="both"/>
        <w:rPr>
          <w:rFonts w:ascii="Arial Narrow" w:hAnsi="Arial Narrow"/>
        </w:rPr>
      </w:pPr>
    </w:p>
    <w:p w:rsidR="00544ACA" w:rsidRPr="008F2928" w:rsidRDefault="00544ACA" w:rsidP="00544ACA">
      <w:pPr>
        <w:numPr>
          <w:ilvl w:val="0"/>
          <w:numId w:val="1"/>
        </w:numPr>
        <w:tabs>
          <w:tab w:val="clear" w:pos="1080"/>
          <w:tab w:val="num" w:pos="360"/>
        </w:tabs>
        <w:ind w:left="360"/>
        <w:jc w:val="both"/>
        <w:rPr>
          <w:rFonts w:ascii="Arial Narrow" w:hAnsi="Arial Narrow"/>
          <w:b/>
          <w:u w:val="single"/>
        </w:rPr>
      </w:pPr>
      <w:r>
        <w:rPr>
          <w:rFonts w:ascii="Arial Narrow" w:hAnsi="Arial Narrow"/>
          <w:b/>
          <w:u w:val="single"/>
        </w:rPr>
        <w:t xml:space="preserve">ΑΠΟΤΙΜΗΣΗ </w:t>
      </w:r>
      <w:r>
        <w:rPr>
          <w:rFonts w:ascii="Arial Narrow" w:hAnsi="Arial Narrow"/>
          <w:b/>
          <w:u w:val="single"/>
          <w:lang w:val="en-US"/>
        </w:rPr>
        <w:t>2</w:t>
      </w:r>
      <w:r w:rsidRPr="008F2928">
        <w:rPr>
          <w:rFonts w:ascii="Arial Narrow" w:hAnsi="Arial Narrow"/>
          <w:b/>
          <w:u w:val="single"/>
          <w:vertAlign w:val="superscript"/>
        </w:rPr>
        <w:t>ου</w:t>
      </w:r>
      <w:r>
        <w:rPr>
          <w:rFonts w:ascii="Arial Narrow" w:hAnsi="Arial Narrow"/>
          <w:b/>
          <w:u w:val="single"/>
        </w:rPr>
        <w:t xml:space="preserve"> ΕΞΑΜΗΝΟΥ 2016</w:t>
      </w:r>
    </w:p>
    <w:p w:rsidR="0026425F" w:rsidRDefault="0026425F" w:rsidP="00544ACA">
      <w:pPr>
        <w:jc w:val="both"/>
        <w:rPr>
          <w:rFonts w:ascii="Arial Narrow" w:hAnsi="Arial Narrow"/>
          <w:highlight w:val="yellow"/>
        </w:rPr>
      </w:pPr>
    </w:p>
    <w:p w:rsidR="00544ACA" w:rsidRPr="001741D2" w:rsidRDefault="0026425F" w:rsidP="001741D2">
      <w:pPr>
        <w:ind w:firstLine="360"/>
        <w:jc w:val="both"/>
        <w:rPr>
          <w:rFonts w:ascii="Arial Narrow" w:hAnsi="Arial Narrow"/>
          <w:highlight w:val="yellow"/>
        </w:rPr>
      </w:pPr>
      <w:r w:rsidRPr="0026425F">
        <w:rPr>
          <w:rFonts w:ascii="Arial Narrow" w:hAnsi="Arial Narrow"/>
        </w:rPr>
        <w:t xml:space="preserve">Η αποτίμηση του β’ εξαμήνου 2016 ακολουθεί με συνέπεια τα πορίσματα της αντίστοιχης έρευνας του προηγούμενου εξαμήνου, ένδειξη καθήλωσης της αγοράς σε πολύ χαμηλά επίπεδα ισορροπίας. Το χάσμα μεταξύ της συντριπτικής πλειοψηφίας των μικρών επιχειρήσεων και αυτοαπασχολούμενων και ενός μικρού σταθερού ποσοστού (που κυμαίνεται στο 7-8%) που φαίνεται </w:t>
      </w:r>
      <w:r w:rsidR="00FC12DD">
        <w:rPr>
          <w:rFonts w:ascii="Arial Narrow" w:hAnsi="Arial Narrow"/>
        </w:rPr>
        <w:t xml:space="preserve">να </w:t>
      </w:r>
      <w:r w:rsidRPr="0026425F">
        <w:rPr>
          <w:rFonts w:ascii="Arial Narrow" w:hAnsi="Arial Narrow"/>
        </w:rPr>
        <w:t xml:space="preserve">ενισχύεται μέσα την κρίση, διευρύνεται. Ο λόγος θετικών – αρνητικών αποτιμήσεων τείνει στο 1:9, ενώ 1 στις 4 επιχειρήσεις δηλώνουν σταθεροποίηση </w:t>
      </w:r>
      <w:r>
        <w:rPr>
          <w:rFonts w:ascii="Arial Narrow" w:hAnsi="Arial Narrow"/>
        </w:rPr>
        <w:t xml:space="preserve">της οικονομικής τους κατάστασης. </w:t>
      </w:r>
      <w:r w:rsidRPr="0026425F">
        <w:rPr>
          <w:rFonts w:ascii="Arial Narrow" w:hAnsi="Arial Narrow"/>
        </w:rPr>
        <w:t>Τα διαρθρωτικά προβλήματα των μικρών επιχειρήσεων που αφορούν τη χρηματοδότηση και τη μειωμένη κατανάλωση αντικατοπτρίζονται έκδηλα στους δείκτες κύκλου εργασιών, ρευστότητας και ζήτησης.</w:t>
      </w:r>
      <w:r w:rsidR="001741D2">
        <w:rPr>
          <w:rFonts w:ascii="Arial Narrow" w:hAnsi="Arial Narrow"/>
        </w:rPr>
        <w:t xml:space="preserve"> </w:t>
      </w:r>
      <w:r w:rsidR="00544ACA" w:rsidRPr="0026425F">
        <w:rPr>
          <w:rFonts w:ascii="Arial Narrow" w:hAnsi="Arial Narrow"/>
        </w:rPr>
        <w:t xml:space="preserve">Ειδικότερα, ο </w:t>
      </w:r>
      <w:r w:rsidRPr="0026425F">
        <w:rPr>
          <w:rFonts w:ascii="Arial Narrow" w:hAnsi="Arial Narrow"/>
        </w:rPr>
        <w:t>δείκτης</w:t>
      </w:r>
      <w:r w:rsidR="00544ACA" w:rsidRPr="0026425F">
        <w:rPr>
          <w:rFonts w:ascii="Arial Narrow" w:hAnsi="Arial Narrow"/>
        </w:rPr>
        <w:t xml:space="preserve"> ρευστότητα</w:t>
      </w:r>
      <w:r w:rsidRPr="0026425F">
        <w:rPr>
          <w:rFonts w:ascii="Arial Narrow" w:hAnsi="Arial Narrow"/>
        </w:rPr>
        <w:t>ς</w:t>
      </w:r>
      <w:r w:rsidR="00544ACA" w:rsidRPr="0026425F">
        <w:rPr>
          <w:rFonts w:ascii="Arial Narrow" w:hAnsi="Arial Narrow"/>
        </w:rPr>
        <w:t xml:space="preserve"> διατηρεί σταθερά υψηλά επίπεδα αρνητικών αποτιμήσεων, </w:t>
      </w:r>
      <w:r w:rsidR="001741D2" w:rsidRPr="001741D2">
        <w:rPr>
          <w:rFonts w:ascii="Arial Narrow" w:hAnsi="Arial Narrow"/>
        </w:rPr>
        <w:t>και σε συνδυασμό με το χαμηλό 7,7% που δηλώνει αύξηση επενδύσεων το προηγούμενο εξάμηνο, ουσιαστικά σκιαγραφεί το θεμελιώδες πρόβλημα έλλειψης κεφαλαίων που έχουν οι επιχειρήσεις</w:t>
      </w:r>
      <w:r w:rsidR="00544ACA" w:rsidRPr="0026425F">
        <w:rPr>
          <w:rFonts w:ascii="Arial Narrow" w:hAnsi="Arial Narrow"/>
        </w:rPr>
        <w:t>.</w:t>
      </w:r>
    </w:p>
    <w:p w:rsidR="00544ACA" w:rsidRPr="008F2928" w:rsidRDefault="00544ACA" w:rsidP="00544ACA">
      <w:pPr>
        <w:jc w:val="both"/>
        <w:rPr>
          <w:rFonts w:ascii="Arial Narrow" w:hAnsi="Arial Narrow"/>
        </w:rPr>
      </w:pPr>
      <w:r w:rsidRPr="004A4072">
        <w:rPr>
          <w:rFonts w:ascii="Arial Narrow" w:hAnsi="Arial Narrow"/>
        </w:rPr>
        <w:t>Συγκεκριμένα</w:t>
      </w:r>
      <w:r w:rsidRPr="00E1352A">
        <w:rPr>
          <w:rFonts w:ascii="Arial Narrow" w:hAnsi="Arial Narrow"/>
        </w:rPr>
        <w:t xml:space="preserve">, </w:t>
      </w:r>
      <w:r>
        <w:rPr>
          <w:rFonts w:ascii="Arial Narrow" w:hAnsi="Arial Narrow"/>
        </w:rPr>
        <w:t xml:space="preserve">στους επί μέρους </w:t>
      </w:r>
      <w:r>
        <w:rPr>
          <w:rFonts w:ascii="Arial Narrow" w:hAnsi="Arial Narrow"/>
          <w:b/>
        </w:rPr>
        <w:t>δείκτες</w:t>
      </w:r>
      <w:r w:rsidRPr="004A4072">
        <w:rPr>
          <w:rFonts w:ascii="Arial Narrow" w:hAnsi="Arial Narrow"/>
        </w:rPr>
        <w:t xml:space="preserve"> </w:t>
      </w:r>
      <w:r>
        <w:rPr>
          <w:rFonts w:ascii="Arial Narrow" w:hAnsi="Arial Narrow"/>
        </w:rPr>
        <w:t>σημειώνεται κάμψη</w:t>
      </w:r>
      <w:r w:rsidRPr="008F2928">
        <w:rPr>
          <w:rFonts w:ascii="Arial Narrow" w:hAnsi="Arial Narrow"/>
        </w:rPr>
        <w:t>:</w:t>
      </w:r>
    </w:p>
    <w:p w:rsidR="00544ACA" w:rsidRPr="00A50B2F" w:rsidRDefault="00544ACA" w:rsidP="00880BD4">
      <w:pPr>
        <w:numPr>
          <w:ilvl w:val="0"/>
          <w:numId w:val="2"/>
        </w:numPr>
        <w:tabs>
          <w:tab w:val="clear" w:pos="360"/>
          <w:tab w:val="num" w:pos="284"/>
        </w:tabs>
        <w:ind w:left="284" w:firstLine="0"/>
        <w:jc w:val="both"/>
        <w:rPr>
          <w:rFonts w:ascii="Arial Narrow" w:hAnsi="Arial Narrow"/>
          <w:b/>
        </w:rPr>
      </w:pPr>
      <w:r>
        <w:rPr>
          <w:rFonts w:ascii="Arial Narrow" w:hAnsi="Arial Narrow"/>
          <w:b/>
        </w:rPr>
        <w:t xml:space="preserve">στον κύκλο εργασιών για το </w:t>
      </w:r>
      <w:r w:rsidRPr="00E1352A">
        <w:rPr>
          <w:rFonts w:ascii="Arial Narrow" w:hAnsi="Arial Narrow"/>
          <w:b/>
        </w:rPr>
        <w:t>59</w:t>
      </w:r>
      <w:r>
        <w:rPr>
          <w:rFonts w:ascii="Arial Narrow" w:hAnsi="Arial Narrow"/>
          <w:b/>
        </w:rPr>
        <w:t>,</w:t>
      </w:r>
      <w:r w:rsidRPr="00E1352A">
        <w:rPr>
          <w:rFonts w:ascii="Arial Narrow" w:hAnsi="Arial Narrow"/>
          <w:b/>
        </w:rPr>
        <w:t>8</w:t>
      </w:r>
      <w:r w:rsidRPr="00A50B2F">
        <w:rPr>
          <w:rFonts w:ascii="Arial Narrow" w:hAnsi="Arial Narrow"/>
          <w:b/>
        </w:rPr>
        <w:t>% των επιχειρήσεων</w:t>
      </w:r>
      <w:r w:rsidR="00880BD4" w:rsidRPr="00880BD4">
        <w:t xml:space="preserve"> </w:t>
      </w:r>
      <w:r w:rsidR="00880BD4">
        <w:rPr>
          <w:rFonts w:ascii="Arial Narrow" w:hAnsi="Arial Narrow"/>
          <w:b/>
        </w:rPr>
        <w:t>(οι αυτοαπασχολούμενοι και οι</w:t>
      </w:r>
      <w:r w:rsidR="00880BD4" w:rsidRPr="00880BD4">
        <w:rPr>
          <w:rFonts w:ascii="Arial Narrow" w:hAnsi="Arial Narrow"/>
          <w:b/>
        </w:rPr>
        <w:t xml:space="preserve"> επιχειρήσ</w:t>
      </w:r>
      <w:r w:rsidR="00880BD4">
        <w:rPr>
          <w:rFonts w:ascii="Arial Narrow" w:hAnsi="Arial Narrow"/>
          <w:b/>
        </w:rPr>
        <w:t xml:space="preserve">εις του εμπορίου παρουσιάζουν τις </w:t>
      </w:r>
      <w:r w:rsidR="00880BD4" w:rsidRPr="00880BD4">
        <w:rPr>
          <w:rFonts w:ascii="Arial Narrow" w:hAnsi="Arial Narrow"/>
          <w:b/>
        </w:rPr>
        <w:t>υψηλότερες απώλειες (69,3% και 62,5% αντίστοιχα)</w:t>
      </w:r>
    </w:p>
    <w:p w:rsidR="00544ACA" w:rsidRPr="00A50B2F" w:rsidRDefault="00544ACA" w:rsidP="002211DA">
      <w:pPr>
        <w:numPr>
          <w:ilvl w:val="0"/>
          <w:numId w:val="2"/>
        </w:numPr>
        <w:ind w:hanging="76"/>
        <w:jc w:val="both"/>
        <w:rPr>
          <w:rFonts w:ascii="Arial Narrow" w:hAnsi="Arial Narrow"/>
          <w:b/>
        </w:rPr>
      </w:pPr>
      <w:r>
        <w:rPr>
          <w:rFonts w:ascii="Arial Narrow" w:hAnsi="Arial Narrow"/>
          <w:b/>
        </w:rPr>
        <w:t>στη ζήτηση για το 6</w:t>
      </w:r>
      <w:r>
        <w:rPr>
          <w:rFonts w:ascii="Arial Narrow" w:hAnsi="Arial Narrow"/>
          <w:b/>
          <w:lang w:val="en-US"/>
        </w:rPr>
        <w:t>2</w:t>
      </w:r>
      <w:r>
        <w:rPr>
          <w:rFonts w:ascii="Arial Narrow" w:hAnsi="Arial Narrow"/>
          <w:b/>
        </w:rPr>
        <w:t>,</w:t>
      </w:r>
      <w:r>
        <w:rPr>
          <w:rFonts w:ascii="Arial Narrow" w:hAnsi="Arial Narrow"/>
          <w:b/>
          <w:lang w:val="en-US"/>
        </w:rPr>
        <w:t>4</w:t>
      </w:r>
      <w:r w:rsidRPr="00A50B2F">
        <w:rPr>
          <w:rFonts w:ascii="Arial Narrow" w:hAnsi="Arial Narrow"/>
          <w:b/>
        </w:rPr>
        <w:t xml:space="preserve">% </w:t>
      </w:r>
    </w:p>
    <w:p w:rsidR="00544ACA" w:rsidRPr="00A50B2F" w:rsidRDefault="00544ACA" w:rsidP="002211DA">
      <w:pPr>
        <w:numPr>
          <w:ilvl w:val="0"/>
          <w:numId w:val="2"/>
        </w:numPr>
        <w:ind w:hanging="76"/>
        <w:jc w:val="both"/>
        <w:rPr>
          <w:rFonts w:ascii="Arial Narrow" w:hAnsi="Arial Narrow"/>
          <w:b/>
        </w:rPr>
      </w:pPr>
      <w:r w:rsidRPr="00A50B2F">
        <w:rPr>
          <w:rFonts w:ascii="Arial Narrow" w:hAnsi="Arial Narrow"/>
          <w:b/>
        </w:rPr>
        <w:t xml:space="preserve">στη ρευστότητα το </w:t>
      </w:r>
      <w:r>
        <w:rPr>
          <w:rFonts w:ascii="Arial Narrow" w:hAnsi="Arial Narrow"/>
          <w:b/>
        </w:rPr>
        <w:t>7</w:t>
      </w:r>
      <w:r>
        <w:rPr>
          <w:rFonts w:ascii="Arial Narrow" w:hAnsi="Arial Narrow"/>
          <w:b/>
          <w:lang w:val="en-US"/>
        </w:rPr>
        <w:t>0</w:t>
      </w:r>
      <w:r>
        <w:rPr>
          <w:rFonts w:ascii="Arial Narrow" w:hAnsi="Arial Narrow"/>
          <w:b/>
        </w:rPr>
        <w:t>,</w:t>
      </w:r>
      <w:r>
        <w:rPr>
          <w:rFonts w:ascii="Arial Narrow" w:hAnsi="Arial Narrow"/>
          <w:b/>
          <w:lang w:val="en-US"/>
        </w:rPr>
        <w:t>1</w:t>
      </w:r>
      <w:r w:rsidRPr="00A50B2F">
        <w:rPr>
          <w:rFonts w:ascii="Arial Narrow" w:hAnsi="Arial Narrow"/>
          <w:b/>
        </w:rPr>
        <w:t>%</w:t>
      </w:r>
    </w:p>
    <w:p w:rsidR="00544ACA" w:rsidRPr="00A50B2F" w:rsidRDefault="00544ACA" w:rsidP="002211DA">
      <w:pPr>
        <w:numPr>
          <w:ilvl w:val="0"/>
          <w:numId w:val="2"/>
        </w:numPr>
        <w:ind w:hanging="76"/>
        <w:jc w:val="both"/>
        <w:rPr>
          <w:rFonts w:ascii="Arial Narrow" w:hAnsi="Arial Narrow"/>
          <w:b/>
        </w:rPr>
      </w:pPr>
      <w:r>
        <w:rPr>
          <w:rFonts w:ascii="Arial Narrow" w:hAnsi="Arial Narrow"/>
          <w:b/>
        </w:rPr>
        <w:t>στις παραγγελίες το 6</w:t>
      </w:r>
      <w:r>
        <w:rPr>
          <w:rFonts w:ascii="Arial Narrow" w:hAnsi="Arial Narrow"/>
          <w:b/>
          <w:lang w:val="en-US"/>
        </w:rPr>
        <w:t>5</w:t>
      </w:r>
      <w:r>
        <w:rPr>
          <w:rFonts w:ascii="Arial Narrow" w:hAnsi="Arial Narrow"/>
          <w:b/>
        </w:rPr>
        <w:t>,</w:t>
      </w:r>
      <w:r>
        <w:rPr>
          <w:rFonts w:ascii="Arial Narrow" w:hAnsi="Arial Narrow"/>
          <w:b/>
          <w:lang w:val="en-US"/>
        </w:rPr>
        <w:t>9</w:t>
      </w:r>
      <w:r w:rsidRPr="00A50B2F">
        <w:rPr>
          <w:rFonts w:ascii="Arial Narrow" w:hAnsi="Arial Narrow"/>
          <w:b/>
        </w:rPr>
        <w:t>%</w:t>
      </w:r>
    </w:p>
    <w:p w:rsidR="00544ACA" w:rsidRDefault="00544ACA" w:rsidP="002211DA">
      <w:pPr>
        <w:numPr>
          <w:ilvl w:val="0"/>
          <w:numId w:val="2"/>
        </w:numPr>
        <w:ind w:hanging="76"/>
        <w:jc w:val="both"/>
        <w:rPr>
          <w:rFonts w:ascii="Arial Narrow" w:hAnsi="Arial Narrow"/>
          <w:b/>
        </w:rPr>
      </w:pPr>
      <w:r w:rsidRPr="00A50B2F">
        <w:rPr>
          <w:rFonts w:ascii="Arial Narrow" w:hAnsi="Arial Narrow"/>
          <w:b/>
        </w:rPr>
        <w:t>στις επ</w:t>
      </w:r>
      <w:r>
        <w:rPr>
          <w:rFonts w:ascii="Arial Narrow" w:hAnsi="Arial Narrow"/>
          <w:b/>
        </w:rPr>
        <w:t>ενδύσεις: αύξηση καταγράφει το 7,7</w:t>
      </w:r>
      <w:r w:rsidRPr="00A50B2F">
        <w:rPr>
          <w:rFonts w:ascii="Arial Narrow" w:hAnsi="Arial Narrow"/>
          <w:b/>
        </w:rPr>
        <w:t>%, μείωση το</w:t>
      </w:r>
      <w:r>
        <w:rPr>
          <w:rFonts w:ascii="Arial Narrow" w:hAnsi="Arial Narrow"/>
          <w:b/>
        </w:rPr>
        <w:t xml:space="preserve"> 34,7% και στασιμότητα το 51,1</w:t>
      </w:r>
      <w:r w:rsidRPr="00A50B2F">
        <w:rPr>
          <w:rFonts w:ascii="Arial Narrow" w:hAnsi="Arial Narrow"/>
          <w:b/>
        </w:rPr>
        <w:t>%</w:t>
      </w:r>
      <w:r>
        <w:rPr>
          <w:rFonts w:ascii="Arial Narrow" w:hAnsi="Arial Narrow"/>
          <w:b/>
        </w:rPr>
        <w:t>.</w:t>
      </w:r>
    </w:p>
    <w:p w:rsidR="00544ACA" w:rsidRDefault="00544ACA" w:rsidP="00544ACA">
      <w:pPr>
        <w:jc w:val="both"/>
        <w:rPr>
          <w:rFonts w:ascii="Arial Narrow" w:hAnsi="Arial Narrow"/>
          <w:b/>
        </w:rPr>
      </w:pPr>
      <w:r w:rsidRPr="001741D2">
        <w:rPr>
          <w:rFonts w:ascii="Arial Narrow" w:hAnsi="Arial Narrow"/>
        </w:rPr>
        <w:t xml:space="preserve">Αναφορικά με το </w:t>
      </w:r>
      <w:r w:rsidRPr="001741D2">
        <w:rPr>
          <w:rFonts w:ascii="Arial Narrow" w:hAnsi="Arial Narrow"/>
          <w:u w:val="single"/>
        </w:rPr>
        <w:t>επίπεδο τιμών</w:t>
      </w:r>
      <w:r w:rsidRPr="001741D2">
        <w:rPr>
          <w:rFonts w:ascii="Arial Narrow" w:hAnsi="Arial Narrow"/>
        </w:rPr>
        <w:t xml:space="preserve"> αγαθών/ υπηρεσιών της επιχείρησης, το 8,7% των επιχειρήσεων δήλωσε ότι αύξησε τις τιμές, το 46,4% τις μείωσε, ενώ για το 44,6% δεν υπήρξε καμιά μεταβολή</w:t>
      </w:r>
      <w:r w:rsidRPr="00EB5EAC">
        <w:rPr>
          <w:rFonts w:ascii="Arial Narrow" w:hAnsi="Arial Narrow"/>
          <w:b/>
        </w:rPr>
        <w:t xml:space="preserve">. </w:t>
      </w:r>
      <w:r>
        <w:rPr>
          <w:rFonts w:ascii="Arial Narrow" w:hAnsi="Arial Narrow"/>
          <w:b/>
        </w:rPr>
        <w:t xml:space="preserve"> </w:t>
      </w:r>
    </w:p>
    <w:p w:rsidR="00544ACA" w:rsidRDefault="00544ACA" w:rsidP="00544ACA">
      <w:pPr>
        <w:jc w:val="both"/>
        <w:rPr>
          <w:rFonts w:ascii="Arial Narrow" w:hAnsi="Arial Narrow"/>
          <w:b/>
        </w:rPr>
      </w:pPr>
      <w:r w:rsidRPr="001741D2">
        <w:rPr>
          <w:rFonts w:ascii="Arial Narrow" w:hAnsi="Arial Narrow"/>
        </w:rPr>
        <w:t>Ως προς το δείκτη κερδοφορίας, το 43,7% των επιχειρήσεων δήλωσε ότι είχε κέρδη στο 2016, ενώ το 43,4% σημείωσε ζημίες.</w:t>
      </w:r>
      <w:r>
        <w:rPr>
          <w:rFonts w:ascii="Arial Narrow" w:hAnsi="Arial Narrow"/>
          <w:b/>
        </w:rPr>
        <w:t xml:space="preserve">  Αν λάβουμε υπόψη ότι το 24,3% καταγράφει κέρδη κάτω των 10,000€, τότε αντιλαμβανόμαστε ότι μόνο το 15-17% των επιχειρήσεων διατηρεί ένα ισχυρό προφίλ βιωσιμότητας και κερδοφορίας</w:t>
      </w:r>
      <w:r w:rsidRPr="007137C6">
        <w:rPr>
          <w:rFonts w:ascii="Arial Narrow" w:hAnsi="Arial Narrow"/>
          <w:b/>
        </w:rPr>
        <w:t>.</w:t>
      </w:r>
      <w:r>
        <w:rPr>
          <w:rFonts w:ascii="Arial Narrow" w:hAnsi="Arial Narrow"/>
          <w:b/>
        </w:rPr>
        <w:t xml:space="preserve"> </w:t>
      </w:r>
    </w:p>
    <w:p w:rsidR="00544ACA" w:rsidRPr="009C62AF" w:rsidRDefault="00544ACA" w:rsidP="00544ACA">
      <w:pPr>
        <w:jc w:val="both"/>
        <w:rPr>
          <w:rFonts w:ascii="Arial Narrow" w:hAnsi="Arial Narrow"/>
        </w:rPr>
      </w:pPr>
      <w:r w:rsidRPr="001741D2">
        <w:rPr>
          <w:rFonts w:ascii="Arial Narrow" w:hAnsi="Arial Narrow"/>
          <w:b/>
        </w:rPr>
        <w:t>Ο μέσος όρος μείωσης του κύκλου εργασιών κυμάνθηκε στο 17,8%</w:t>
      </w:r>
      <w:r w:rsidRPr="0026425F">
        <w:rPr>
          <w:rFonts w:ascii="Arial Narrow" w:hAnsi="Arial Narrow"/>
        </w:rPr>
        <w:t xml:space="preserve"> (από  17,6% στην προηγούμενη έρευνα). Τη μεγαλύτερη </w:t>
      </w:r>
      <w:r w:rsidR="0026425F" w:rsidRPr="0026425F">
        <w:rPr>
          <w:rFonts w:ascii="Arial Narrow" w:hAnsi="Arial Narrow"/>
        </w:rPr>
        <w:t>συρρίκνωση</w:t>
      </w:r>
      <w:r w:rsidRPr="0026425F">
        <w:rPr>
          <w:rFonts w:ascii="Arial Narrow" w:hAnsi="Arial Narrow"/>
        </w:rPr>
        <w:t xml:space="preserve"> καταγράφουν οι πολύ μικρές επιχειρήσεις και οι αυτοαπασχολούμενοι, ακόμη μια ένδειξη συγκέντρωσης μεριδίων  </w:t>
      </w:r>
      <w:r w:rsidR="0026425F">
        <w:rPr>
          <w:rFonts w:ascii="Arial Narrow" w:hAnsi="Arial Narrow"/>
        </w:rPr>
        <w:t>στην αγορά</w:t>
      </w:r>
      <w:r w:rsidRPr="00E44936">
        <w:rPr>
          <w:rFonts w:ascii="Arial Narrow" w:hAnsi="Arial Narrow"/>
        </w:rPr>
        <w:t xml:space="preserve">. </w:t>
      </w:r>
      <w:r w:rsidRPr="00E44936">
        <w:rPr>
          <w:rFonts w:ascii="Arial Narrow" w:hAnsi="Arial Narrow"/>
          <w:b/>
        </w:rPr>
        <w:t>Σωρευτικά στις μικρές και πολύ μικρές επιχειρήσεις η συνολική μείωση από την έναρξη της κρίσης και μετά το 2010 υπερβαίνει το 80% (την τελευταία τριετία</w:t>
      </w:r>
      <w:r w:rsidR="00E44936">
        <w:rPr>
          <w:rFonts w:ascii="Arial Narrow" w:hAnsi="Arial Narrow"/>
          <w:b/>
        </w:rPr>
        <w:t xml:space="preserve"> 2014-2016</w:t>
      </w:r>
      <w:r w:rsidRPr="00E44936">
        <w:rPr>
          <w:rFonts w:ascii="Arial Narrow" w:hAnsi="Arial Narrow"/>
          <w:b/>
        </w:rPr>
        <w:t xml:space="preserve"> η πτώση </w:t>
      </w:r>
      <w:r w:rsidR="00E44936">
        <w:rPr>
          <w:rFonts w:ascii="Arial Narrow" w:hAnsi="Arial Narrow"/>
          <w:b/>
        </w:rPr>
        <w:t>υπερβαίνει το 40</w:t>
      </w:r>
      <w:r w:rsidRPr="00E44936">
        <w:rPr>
          <w:rFonts w:ascii="Arial Narrow" w:hAnsi="Arial Narrow"/>
          <w:b/>
        </w:rPr>
        <w:t>%).</w:t>
      </w:r>
      <w:r w:rsidRPr="001C038D">
        <w:rPr>
          <w:rFonts w:ascii="Arial Narrow" w:hAnsi="Arial Narrow"/>
          <w:b/>
        </w:rPr>
        <w:t xml:space="preserve"> </w:t>
      </w:r>
      <w:r w:rsidR="000072E5" w:rsidRPr="009C62AF">
        <w:rPr>
          <w:rFonts w:ascii="Arial Narrow" w:hAnsi="Arial Narrow"/>
        </w:rPr>
        <w:t>Σύμφωνα με την</w:t>
      </w:r>
      <w:r w:rsidRPr="009C62AF">
        <w:rPr>
          <w:rFonts w:ascii="Arial Narrow" w:hAnsi="Arial Narrow"/>
        </w:rPr>
        <w:t xml:space="preserve"> πρόσφατη μελέτη της ΕΤΕ</w:t>
      </w:r>
      <w:r w:rsidR="000072E5" w:rsidRPr="009C62AF">
        <w:rPr>
          <w:rFonts w:ascii="Arial Narrow" w:hAnsi="Arial Narrow"/>
        </w:rPr>
        <w:t xml:space="preserve"> (2016</w:t>
      </w:r>
      <w:r w:rsidR="000072E5" w:rsidRPr="009C62AF">
        <w:rPr>
          <w:rFonts w:ascii="Arial Narrow" w:hAnsi="Arial Narrow"/>
          <w:lang w:val="en-US"/>
        </w:rPr>
        <w:t>H</w:t>
      </w:r>
      <w:r w:rsidR="000072E5" w:rsidRPr="009C62AF">
        <w:rPr>
          <w:rFonts w:ascii="Arial Narrow" w:hAnsi="Arial Narrow"/>
        </w:rPr>
        <w:t>2)</w:t>
      </w:r>
      <w:r w:rsidRPr="009C62AF">
        <w:rPr>
          <w:rFonts w:ascii="Arial Narrow" w:hAnsi="Arial Narrow"/>
        </w:rPr>
        <w:t xml:space="preserve">, </w:t>
      </w:r>
      <w:r w:rsidR="000072E5" w:rsidRPr="009C62AF">
        <w:rPr>
          <w:rFonts w:ascii="Arial Narrow" w:hAnsi="Arial Narrow"/>
        </w:rPr>
        <w:t xml:space="preserve">οι κεφαλαιακοί περιορισμοί οδήγησαν τις πολύ μικρές επιχειρήσεις σε μεγαλύτερες απώλειες σε τζίρο και σε απασχόληση. </w:t>
      </w:r>
      <w:r w:rsidR="009C62AF" w:rsidRPr="009C62AF">
        <w:rPr>
          <w:rFonts w:ascii="Arial Narrow" w:hAnsi="Arial Narrow"/>
        </w:rPr>
        <w:t>Άλλωστε, και οι προβλέψεις της Ευρωπαϊκής Επιτροπής για την Ελλάδα στην ετήσια ΓΣ των Μικρομεσα</w:t>
      </w:r>
      <w:r w:rsidR="001B0CAE">
        <w:rPr>
          <w:rFonts w:ascii="Arial Narrow" w:hAnsi="Arial Narrow"/>
        </w:rPr>
        <w:t>ίων Επιχειρήσεων (Νοέμβριος 201</w:t>
      </w:r>
      <w:r w:rsidR="001B0CAE" w:rsidRPr="001B0CAE">
        <w:rPr>
          <w:rFonts w:ascii="Arial Narrow" w:hAnsi="Arial Narrow"/>
        </w:rPr>
        <w:t>6</w:t>
      </w:r>
      <w:r w:rsidR="009C62AF" w:rsidRPr="009C62AF">
        <w:rPr>
          <w:rFonts w:ascii="Arial Narrow" w:hAnsi="Arial Narrow"/>
        </w:rPr>
        <w:t xml:space="preserve">) </w:t>
      </w:r>
      <w:r w:rsidR="00FC12DD">
        <w:rPr>
          <w:rFonts w:ascii="Arial Narrow" w:hAnsi="Arial Narrow"/>
        </w:rPr>
        <w:t>ενισχύουν την υπόθεση για</w:t>
      </w:r>
      <w:r w:rsidR="009C62AF" w:rsidRPr="009C62AF">
        <w:rPr>
          <w:rFonts w:ascii="Arial Narrow" w:hAnsi="Arial Narrow"/>
        </w:rPr>
        <w:t xml:space="preserve"> υποχώρηση της συνεισφοράς των μικρών επιχειρήσεων στην προστιθέμενη αξία και την απασχόληση</w:t>
      </w:r>
      <w:r w:rsidR="00DB6300">
        <w:rPr>
          <w:rFonts w:ascii="Arial Narrow" w:hAnsi="Arial Narrow"/>
        </w:rPr>
        <w:t xml:space="preserve"> μέσα στα έτη 2016-2017</w:t>
      </w:r>
      <w:r w:rsidR="009C62AF" w:rsidRPr="009C62AF">
        <w:rPr>
          <w:rFonts w:ascii="Arial Narrow" w:hAnsi="Arial Narrow"/>
        </w:rPr>
        <w:t>.</w:t>
      </w:r>
    </w:p>
    <w:p w:rsidR="00544ACA" w:rsidRPr="00556F9B" w:rsidRDefault="00544ACA" w:rsidP="00544ACA">
      <w:pPr>
        <w:jc w:val="both"/>
        <w:rPr>
          <w:rFonts w:ascii="Arial Narrow" w:hAnsi="Arial Narrow"/>
        </w:rPr>
      </w:pPr>
    </w:p>
    <w:p w:rsidR="00544ACA" w:rsidRDefault="00544ACA" w:rsidP="00544ACA">
      <w:pPr>
        <w:tabs>
          <w:tab w:val="left" w:pos="4530"/>
        </w:tabs>
        <w:jc w:val="both"/>
        <w:rPr>
          <w:rFonts w:asciiTheme="minorHAnsi" w:hAnsiTheme="minorHAnsi"/>
          <w:b/>
          <w:bCs/>
          <w:sz w:val="20"/>
          <w:szCs w:val="20"/>
          <w:u w:val="single"/>
        </w:rPr>
      </w:pPr>
      <w:r w:rsidRPr="00236915">
        <w:rPr>
          <w:rFonts w:asciiTheme="minorHAnsi" w:hAnsiTheme="minorHAnsi"/>
          <w:b/>
          <w:bCs/>
          <w:sz w:val="20"/>
          <w:szCs w:val="20"/>
          <w:u w:val="single"/>
        </w:rPr>
        <w:t>ΓΡΑΦΗΜΑ 1- ΑΠΟΤΙΜΗΣΗ ΤΕΛΕΥΤΑΙΟΥ ΕΞΑΜΗΝΟΥ</w:t>
      </w:r>
      <w:r>
        <w:rPr>
          <w:rFonts w:asciiTheme="minorHAnsi" w:hAnsiTheme="minorHAnsi"/>
          <w:b/>
          <w:bCs/>
          <w:sz w:val="20"/>
          <w:szCs w:val="20"/>
          <w:u w:val="single"/>
        </w:rPr>
        <w:t>- ΣΥΓΚΕΝΤΡΩΤΙΚΟΙ ΔΕΙΚΤΕΣ</w:t>
      </w:r>
    </w:p>
    <w:p w:rsidR="001741D2" w:rsidRPr="009C62AF" w:rsidRDefault="00544ACA" w:rsidP="009C62AF">
      <w:pPr>
        <w:tabs>
          <w:tab w:val="left" w:pos="4530"/>
        </w:tabs>
        <w:jc w:val="both"/>
        <w:rPr>
          <w:rFonts w:asciiTheme="minorHAnsi" w:hAnsiTheme="minorHAnsi"/>
          <w:b/>
          <w:bCs/>
          <w:sz w:val="20"/>
          <w:szCs w:val="20"/>
          <w:u w:val="single"/>
        </w:rPr>
      </w:pPr>
      <w:r w:rsidRPr="00500EC9">
        <w:rPr>
          <w:rFonts w:asciiTheme="minorHAnsi" w:hAnsiTheme="minorHAnsi"/>
          <w:b/>
          <w:bCs/>
          <w:noProof/>
          <w:sz w:val="20"/>
          <w:szCs w:val="20"/>
        </w:rPr>
        <w:drawing>
          <wp:inline distT="0" distB="0" distL="0" distR="0" wp14:anchorId="540A303D" wp14:editId="25E968E8">
            <wp:extent cx="4781550" cy="2438400"/>
            <wp:effectExtent l="0" t="0" r="19050" b="19050"/>
            <wp:docPr id="4"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40C8" w:rsidRPr="0064755D" w:rsidRDefault="00111422" w:rsidP="0064755D">
      <w:pPr>
        <w:pStyle w:val="aa"/>
        <w:numPr>
          <w:ilvl w:val="0"/>
          <w:numId w:val="1"/>
        </w:numPr>
        <w:tabs>
          <w:tab w:val="clear" w:pos="1080"/>
          <w:tab w:val="num" w:pos="426"/>
        </w:tabs>
        <w:ind w:hanging="1080"/>
        <w:jc w:val="both"/>
        <w:rPr>
          <w:rFonts w:ascii="Arial Narrow" w:hAnsi="Arial Narrow"/>
          <w:b/>
          <w:u w:val="single"/>
        </w:rPr>
      </w:pPr>
      <w:r>
        <w:rPr>
          <w:rFonts w:ascii="Arial Narrow" w:hAnsi="Arial Narrow"/>
          <w:b/>
          <w:u w:val="single"/>
        </w:rPr>
        <w:lastRenderedPageBreak/>
        <w:t>Π</w:t>
      </w:r>
      <w:r w:rsidR="00D641F5">
        <w:rPr>
          <w:rFonts w:ascii="Arial Narrow" w:hAnsi="Arial Narrow"/>
          <w:b/>
          <w:u w:val="single"/>
        </w:rPr>
        <w:t>ΡΟΒΛΕΨΕΙΣ ΓΙΑ ΤΟ 1ο ΕΞΑΜΗΝΟ 2017</w:t>
      </w:r>
    </w:p>
    <w:p w:rsidR="00B640C8" w:rsidRPr="008F2928" w:rsidRDefault="00B640C8" w:rsidP="008F2928">
      <w:pPr>
        <w:jc w:val="both"/>
        <w:rPr>
          <w:rFonts w:ascii="Arial Narrow" w:hAnsi="Arial Narrow"/>
          <w:b/>
          <w:highlight w:val="yellow"/>
        </w:rPr>
      </w:pPr>
    </w:p>
    <w:p w:rsidR="00261B6C" w:rsidRPr="005D7A87" w:rsidRDefault="00C82E86" w:rsidP="00261B6C">
      <w:pPr>
        <w:ind w:firstLine="720"/>
        <w:jc w:val="both"/>
        <w:rPr>
          <w:rFonts w:ascii="Arial Narrow" w:hAnsi="Arial Narrow"/>
          <w:highlight w:val="yellow"/>
        </w:rPr>
      </w:pPr>
      <w:r w:rsidRPr="00C82E86">
        <w:rPr>
          <w:rFonts w:ascii="Arial Narrow" w:hAnsi="Arial Narrow"/>
        </w:rPr>
        <w:t>Οι προσδοκίες σχετικά με την πορεία των επιχειρήσεων το επόμενο εξάμ</w:t>
      </w:r>
      <w:r w:rsidR="00DD411B">
        <w:rPr>
          <w:rFonts w:ascii="Arial Narrow" w:hAnsi="Arial Narrow"/>
        </w:rPr>
        <w:t xml:space="preserve">ηνο </w:t>
      </w:r>
      <w:r w:rsidR="00544ACA">
        <w:rPr>
          <w:rFonts w:ascii="Arial Narrow" w:hAnsi="Arial Narrow"/>
        </w:rPr>
        <w:t>παραμένουν</w:t>
      </w:r>
      <w:r w:rsidR="00DD411B">
        <w:rPr>
          <w:rFonts w:ascii="Arial Narrow" w:hAnsi="Arial Narrow"/>
        </w:rPr>
        <w:t xml:space="preserve"> αρνητικές</w:t>
      </w:r>
      <w:r w:rsidR="00544ACA">
        <w:rPr>
          <w:rFonts w:ascii="Arial Narrow" w:hAnsi="Arial Narrow"/>
        </w:rPr>
        <w:t xml:space="preserve">- αν και οριακά βελτιούμενες- </w:t>
      </w:r>
      <w:r w:rsidR="00DD411B">
        <w:rPr>
          <w:rFonts w:ascii="Arial Narrow" w:hAnsi="Arial Narrow"/>
        </w:rPr>
        <w:t xml:space="preserve">, καθώς το </w:t>
      </w:r>
      <w:r w:rsidR="00544ACA">
        <w:rPr>
          <w:rFonts w:ascii="Arial Narrow" w:hAnsi="Arial Narrow"/>
        </w:rPr>
        <w:t>58,8</w:t>
      </w:r>
      <w:r w:rsidRPr="00C82E86">
        <w:rPr>
          <w:rFonts w:ascii="Arial Narrow" w:hAnsi="Arial Narrow"/>
        </w:rPr>
        <w:t>% των επιχειρήσεων ανα</w:t>
      </w:r>
      <w:r w:rsidR="00DD411B">
        <w:rPr>
          <w:rFonts w:ascii="Arial Narrow" w:hAnsi="Arial Narrow"/>
        </w:rPr>
        <w:t>μένει επιδείνωση</w:t>
      </w:r>
      <w:r w:rsidR="00544ACA">
        <w:rPr>
          <w:rFonts w:ascii="Arial Narrow" w:hAnsi="Arial Narrow"/>
        </w:rPr>
        <w:t xml:space="preserve"> (από 59,5%), και μόλις το 11</w:t>
      </w:r>
      <w:r w:rsidRPr="00C82E86">
        <w:rPr>
          <w:rFonts w:ascii="Arial Narrow" w:hAnsi="Arial Narrow"/>
        </w:rPr>
        <w:t>% βελτίωση</w:t>
      </w:r>
      <w:r w:rsidR="00544ACA">
        <w:rPr>
          <w:rFonts w:ascii="Arial Narrow" w:hAnsi="Arial Narrow"/>
        </w:rPr>
        <w:t xml:space="preserve"> (από 8,5%)</w:t>
      </w:r>
      <w:r w:rsidR="008811CD">
        <w:rPr>
          <w:rFonts w:ascii="Arial Narrow" w:hAnsi="Arial Narrow"/>
        </w:rPr>
        <w:t xml:space="preserve">. </w:t>
      </w:r>
      <w:r w:rsidR="00544ACA">
        <w:rPr>
          <w:rFonts w:ascii="Arial Narrow" w:hAnsi="Arial Narrow"/>
        </w:rPr>
        <w:t>Ο</w:t>
      </w:r>
      <w:r w:rsidR="007C09C5" w:rsidRPr="007C09C5">
        <w:rPr>
          <w:rFonts w:ascii="Arial Narrow" w:hAnsi="Arial Narrow"/>
        </w:rPr>
        <w:t xml:space="preserve">ι αρνητικές προσδοκίες </w:t>
      </w:r>
      <w:r w:rsidR="00544ACA">
        <w:rPr>
          <w:rFonts w:ascii="Arial Narrow" w:hAnsi="Arial Narrow"/>
        </w:rPr>
        <w:t>είναι αποτέλεσμα της</w:t>
      </w:r>
      <w:r w:rsidR="00DD411B">
        <w:rPr>
          <w:rFonts w:ascii="Arial Narrow" w:hAnsi="Arial Narrow"/>
        </w:rPr>
        <w:t xml:space="preserve"> αίσθηση</w:t>
      </w:r>
      <w:r w:rsidR="00544ACA">
        <w:rPr>
          <w:rFonts w:ascii="Arial Narrow" w:hAnsi="Arial Narrow"/>
        </w:rPr>
        <w:t>ς</w:t>
      </w:r>
      <w:r w:rsidR="007C09C5" w:rsidRPr="007C09C5">
        <w:rPr>
          <w:rFonts w:ascii="Arial Narrow" w:hAnsi="Arial Narrow"/>
        </w:rPr>
        <w:t xml:space="preserve"> </w:t>
      </w:r>
      <w:r w:rsidR="00DD411B">
        <w:rPr>
          <w:rFonts w:ascii="Arial Narrow" w:hAnsi="Arial Narrow"/>
        </w:rPr>
        <w:t xml:space="preserve">ότι το νέο μίγμα  συσταλτικών μέτρων </w:t>
      </w:r>
      <w:r w:rsidR="00D651DD">
        <w:rPr>
          <w:rFonts w:ascii="Arial Narrow" w:hAnsi="Arial Narrow"/>
        </w:rPr>
        <w:t xml:space="preserve">που θα ψηφιστεί, </w:t>
      </w:r>
      <w:r w:rsidR="00DD411B">
        <w:rPr>
          <w:rFonts w:ascii="Arial Narrow" w:hAnsi="Arial Narrow"/>
        </w:rPr>
        <w:t>θα</w:t>
      </w:r>
      <w:r w:rsidR="00544ACA">
        <w:rPr>
          <w:rFonts w:ascii="Arial Narrow" w:hAnsi="Arial Narrow"/>
        </w:rPr>
        <w:t xml:space="preserve"> αυξήσει τη φορολογία (μείωση του αφορολόγητου) και θα</w:t>
      </w:r>
      <w:r w:rsidR="00DD411B">
        <w:rPr>
          <w:rFonts w:ascii="Arial Narrow" w:hAnsi="Arial Narrow"/>
        </w:rPr>
        <w:t xml:space="preserve"> επιδράσει αρνητικά </w:t>
      </w:r>
      <w:r w:rsidR="00A35B40">
        <w:rPr>
          <w:rFonts w:ascii="Arial Narrow" w:hAnsi="Arial Narrow"/>
        </w:rPr>
        <w:t xml:space="preserve">στα </w:t>
      </w:r>
      <w:r w:rsidR="00DD411B">
        <w:rPr>
          <w:rFonts w:ascii="Arial Narrow" w:hAnsi="Arial Narrow"/>
        </w:rPr>
        <w:t xml:space="preserve">εισοδήματα και την κατανάλωση, και συνακόλουθα στα κέρδη των </w:t>
      </w:r>
      <w:r w:rsidR="00544ACA">
        <w:rPr>
          <w:rFonts w:ascii="Arial Narrow" w:hAnsi="Arial Narrow"/>
        </w:rPr>
        <w:t xml:space="preserve">μικρών </w:t>
      </w:r>
      <w:r w:rsidR="00DD411B">
        <w:rPr>
          <w:rFonts w:ascii="Arial Narrow" w:hAnsi="Arial Narrow"/>
        </w:rPr>
        <w:t>επιχειρήσεων</w:t>
      </w:r>
      <w:r w:rsidR="00544ACA">
        <w:rPr>
          <w:rFonts w:ascii="Arial Narrow" w:hAnsi="Arial Narrow"/>
        </w:rPr>
        <w:t xml:space="preserve">, οι περισσότερες εκ των οποίων δραστηριοποιούνται </w:t>
      </w:r>
      <w:proofErr w:type="spellStart"/>
      <w:r w:rsidR="00544ACA">
        <w:rPr>
          <w:rFonts w:ascii="Arial Narrow" w:hAnsi="Arial Narrow"/>
        </w:rPr>
        <w:t>εγχωρίως</w:t>
      </w:r>
      <w:proofErr w:type="spellEnd"/>
      <w:r w:rsidR="00544ACA">
        <w:rPr>
          <w:rFonts w:ascii="Arial Narrow" w:hAnsi="Arial Narrow"/>
        </w:rPr>
        <w:t xml:space="preserve"> και σε τοπικές αγορέ</w:t>
      </w:r>
      <w:r w:rsidR="00544ACA" w:rsidRPr="0026425F">
        <w:rPr>
          <w:rFonts w:ascii="Arial Narrow" w:hAnsi="Arial Narrow"/>
        </w:rPr>
        <w:t>ς</w:t>
      </w:r>
      <w:r w:rsidRPr="0026425F">
        <w:rPr>
          <w:rFonts w:ascii="Arial Narrow" w:hAnsi="Arial Narrow"/>
        </w:rPr>
        <w:t>.</w:t>
      </w:r>
      <w:r w:rsidR="00ED2638" w:rsidRPr="0026425F">
        <w:rPr>
          <w:rFonts w:ascii="Arial Narrow" w:hAnsi="Arial Narrow"/>
        </w:rPr>
        <w:t xml:space="preserve"> </w:t>
      </w:r>
    </w:p>
    <w:p w:rsidR="00490F37" w:rsidRPr="00C82E86" w:rsidRDefault="00261B6C" w:rsidP="00B81629">
      <w:pPr>
        <w:ind w:firstLine="720"/>
        <w:jc w:val="both"/>
        <w:rPr>
          <w:rFonts w:ascii="Arial Narrow" w:hAnsi="Arial Narrow"/>
        </w:rPr>
      </w:pPr>
      <w:r w:rsidRPr="00C82E86">
        <w:rPr>
          <w:rFonts w:ascii="Arial Narrow" w:hAnsi="Arial Narrow"/>
        </w:rPr>
        <w:t>Σ</w:t>
      </w:r>
      <w:r w:rsidR="00EB7B15" w:rsidRPr="00C82E86">
        <w:rPr>
          <w:rFonts w:ascii="Arial Narrow" w:hAnsi="Arial Narrow"/>
        </w:rPr>
        <w:t>ε</w:t>
      </w:r>
      <w:r w:rsidR="00B63D20" w:rsidRPr="00C82E86">
        <w:rPr>
          <w:rFonts w:ascii="Arial Narrow" w:hAnsi="Arial Narrow"/>
        </w:rPr>
        <w:t xml:space="preserve"> όλους τους δείκτες οικονομικών προσδοκιών καταγράφον</w:t>
      </w:r>
      <w:r w:rsidR="00EB7B15" w:rsidRPr="00C82E86">
        <w:rPr>
          <w:rFonts w:ascii="Arial Narrow" w:hAnsi="Arial Narrow"/>
        </w:rPr>
        <w:t xml:space="preserve">ται </w:t>
      </w:r>
      <w:r w:rsidR="00B63D20" w:rsidRPr="00C82E86">
        <w:rPr>
          <w:rFonts w:ascii="Arial Narrow" w:hAnsi="Arial Narrow"/>
        </w:rPr>
        <w:t>αρνητικές επιδόσεις</w:t>
      </w:r>
      <w:r w:rsidR="00F77B83" w:rsidRPr="00C82E86">
        <w:rPr>
          <w:rFonts w:ascii="Arial Narrow" w:hAnsi="Arial Narrow"/>
        </w:rPr>
        <w:t xml:space="preserve"> και </w:t>
      </w:r>
      <w:r w:rsidR="00EB7B15" w:rsidRPr="00C82E86">
        <w:rPr>
          <w:rFonts w:ascii="Arial Narrow" w:hAnsi="Arial Narrow"/>
        </w:rPr>
        <w:t xml:space="preserve">απαισιοδοξία για </w:t>
      </w:r>
      <w:r w:rsidR="007137C6">
        <w:rPr>
          <w:rFonts w:ascii="Arial Narrow" w:hAnsi="Arial Narrow"/>
        </w:rPr>
        <w:t>ποσοστό άνω</w:t>
      </w:r>
      <w:r w:rsidR="00EB7B15" w:rsidRPr="00C82E86">
        <w:rPr>
          <w:rFonts w:ascii="Arial Narrow" w:hAnsi="Arial Narrow"/>
        </w:rPr>
        <w:t xml:space="preserve"> </w:t>
      </w:r>
      <w:r w:rsidR="00C82E86">
        <w:rPr>
          <w:rFonts w:ascii="Arial Narrow" w:hAnsi="Arial Narrow"/>
        </w:rPr>
        <w:t>το</w:t>
      </w:r>
      <w:r w:rsidR="007137C6">
        <w:rPr>
          <w:rFonts w:ascii="Arial Narrow" w:hAnsi="Arial Narrow"/>
        </w:rPr>
        <w:t>υ</w:t>
      </w:r>
      <w:r w:rsidR="00D5504E">
        <w:rPr>
          <w:rFonts w:ascii="Arial Narrow" w:hAnsi="Arial Narrow"/>
        </w:rPr>
        <w:t xml:space="preserve"> 55</w:t>
      </w:r>
      <w:r w:rsidR="00C82E86">
        <w:rPr>
          <w:rFonts w:ascii="Arial Narrow" w:hAnsi="Arial Narrow"/>
        </w:rPr>
        <w:t xml:space="preserve">% </w:t>
      </w:r>
      <w:r w:rsidR="007137C6">
        <w:rPr>
          <w:rFonts w:ascii="Arial Narrow" w:hAnsi="Arial Narrow"/>
        </w:rPr>
        <w:t>του συνόλου των</w:t>
      </w:r>
      <w:r w:rsidR="00C82E86">
        <w:rPr>
          <w:rFonts w:ascii="Arial Narrow" w:hAnsi="Arial Narrow"/>
        </w:rPr>
        <w:t xml:space="preserve"> επιχειρήσεων</w:t>
      </w:r>
      <w:r w:rsidR="00EB7B15" w:rsidRPr="00C82E86">
        <w:rPr>
          <w:rFonts w:ascii="Arial Narrow" w:hAnsi="Arial Narrow"/>
        </w:rPr>
        <w:t xml:space="preserve">. </w:t>
      </w:r>
      <w:r w:rsidR="00A83D51" w:rsidRPr="00C82E86">
        <w:rPr>
          <w:rFonts w:ascii="Arial Narrow" w:hAnsi="Arial Narrow"/>
        </w:rPr>
        <w:t>Σημειώνεται ότι ο</w:t>
      </w:r>
      <w:r w:rsidR="00B640C8" w:rsidRPr="00C82E86">
        <w:rPr>
          <w:rFonts w:ascii="Arial Narrow" w:hAnsi="Arial Narrow"/>
        </w:rPr>
        <w:t xml:space="preserve"> βαθμός απαισιοδοξίας είναι μεγαλύτερος </w:t>
      </w:r>
      <w:r w:rsidR="00DA692A">
        <w:rPr>
          <w:rFonts w:ascii="Arial Narrow" w:hAnsi="Arial Narrow"/>
        </w:rPr>
        <w:t>στους αυτοαπασχολούμενους</w:t>
      </w:r>
      <w:r w:rsidR="00B47F66">
        <w:rPr>
          <w:rFonts w:ascii="Arial Narrow" w:hAnsi="Arial Narrow"/>
        </w:rPr>
        <w:t xml:space="preserve"> και στον κλάδο του εμπορίου</w:t>
      </w:r>
      <w:r w:rsidR="00B640C8" w:rsidRPr="00C82E86">
        <w:rPr>
          <w:rFonts w:ascii="Arial Narrow" w:hAnsi="Arial Narrow"/>
        </w:rPr>
        <w:t>.</w:t>
      </w:r>
      <w:r w:rsidR="0026425F" w:rsidRPr="0026425F">
        <w:t xml:space="preserve"> </w:t>
      </w:r>
      <w:r w:rsidR="0026425F" w:rsidRPr="0026425F">
        <w:rPr>
          <w:rFonts w:ascii="Arial Narrow" w:hAnsi="Arial Narrow"/>
        </w:rPr>
        <w:t>Μεγαλύτερο βαθμό αισιοδοξίας παρουσιάζουν οι νεότερες και οι μεγαλύτερες επιχειρήσεις (ως 5 έτη λειτουργίας, με πάνω από 5 άτομα προσωπικό).</w:t>
      </w:r>
    </w:p>
    <w:p w:rsidR="00B640C8" w:rsidRPr="008F2928" w:rsidRDefault="00A83D51" w:rsidP="008F2928">
      <w:pPr>
        <w:jc w:val="both"/>
        <w:rPr>
          <w:rFonts w:ascii="Arial Narrow" w:hAnsi="Arial Narrow"/>
        </w:rPr>
      </w:pPr>
      <w:r w:rsidRPr="00C82E86">
        <w:rPr>
          <w:rFonts w:ascii="Arial Narrow" w:hAnsi="Arial Narrow"/>
        </w:rPr>
        <w:t>Σ</w:t>
      </w:r>
      <w:r w:rsidR="000C5E52" w:rsidRPr="00C82E86">
        <w:rPr>
          <w:rFonts w:ascii="Arial Narrow" w:hAnsi="Arial Narrow"/>
        </w:rPr>
        <w:t>υγκεκριμένα, σ</w:t>
      </w:r>
      <w:r w:rsidRPr="00C82E86">
        <w:rPr>
          <w:rFonts w:ascii="Arial Narrow" w:hAnsi="Arial Narrow"/>
        </w:rPr>
        <w:t>τους ειδικότερους δείκτες</w:t>
      </w:r>
      <w:r w:rsidR="00B640C8" w:rsidRPr="00C82E86">
        <w:rPr>
          <w:rFonts w:ascii="Arial Narrow" w:hAnsi="Arial Narrow"/>
        </w:rPr>
        <w:t xml:space="preserve">, </w:t>
      </w:r>
      <w:r w:rsidR="00D813B1" w:rsidRPr="00C82E86">
        <w:rPr>
          <w:rFonts w:ascii="Arial Narrow" w:hAnsi="Arial Narrow"/>
        </w:rPr>
        <w:t xml:space="preserve">το ισοζύγιο θετικών- αρνητικών προσδοκιών που προβλέπεται για το επόμενο εξάμηνο </w:t>
      </w:r>
      <w:r w:rsidR="00AF089D" w:rsidRPr="00C82E86">
        <w:rPr>
          <w:rFonts w:ascii="Arial Narrow" w:hAnsi="Arial Narrow"/>
        </w:rPr>
        <w:t>εμφανίζεται επιδεινούμενο</w:t>
      </w:r>
      <w:r w:rsidR="00D5504E">
        <w:rPr>
          <w:rFonts w:ascii="Arial Narrow" w:hAnsi="Arial Narrow"/>
        </w:rPr>
        <w:t xml:space="preserve"> στον κύκλο εργασιών και τη ρευστότητα, και παραμένει εξαιρετικά στάσιμο στο δείκτη ζήτησης και επενδύσεων</w:t>
      </w:r>
      <w:r w:rsidR="00B640C8" w:rsidRPr="00C82E86">
        <w:rPr>
          <w:rFonts w:ascii="Arial Narrow" w:hAnsi="Arial Narrow"/>
        </w:rPr>
        <w:t>:</w:t>
      </w:r>
    </w:p>
    <w:p w:rsidR="00B640C8" w:rsidRPr="00C53A06" w:rsidRDefault="00D813B1" w:rsidP="00D156EE">
      <w:pPr>
        <w:numPr>
          <w:ilvl w:val="0"/>
          <w:numId w:val="3"/>
        </w:numPr>
        <w:jc w:val="both"/>
        <w:rPr>
          <w:rFonts w:ascii="Arial Narrow" w:hAnsi="Arial Narrow"/>
          <w:b/>
        </w:rPr>
      </w:pPr>
      <w:r>
        <w:rPr>
          <w:rFonts w:ascii="Arial Narrow" w:hAnsi="Arial Narrow"/>
          <w:b/>
        </w:rPr>
        <w:t>στον κύκλο εργασιών,</w:t>
      </w:r>
      <w:r w:rsidR="00AF089D">
        <w:rPr>
          <w:rFonts w:ascii="Arial Narrow" w:hAnsi="Arial Narrow"/>
          <w:b/>
        </w:rPr>
        <w:t xml:space="preserve"> ο δείκτης είναι στο </w:t>
      </w:r>
      <w:r w:rsidR="00D5504E">
        <w:rPr>
          <w:rFonts w:ascii="Arial Narrow" w:hAnsi="Arial Narrow"/>
          <w:b/>
        </w:rPr>
        <w:t>–48,4</w:t>
      </w:r>
      <w:r w:rsidR="008811CD">
        <w:rPr>
          <w:rFonts w:ascii="Arial Narrow" w:hAnsi="Arial Narrow"/>
          <w:b/>
        </w:rPr>
        <w:t xml:space="preserve"> από </w:t>
      </w:r>
      <w:r w:rsidR="00D5504E">
        <w:rPr>
          <w:rFonts w:ascii="Arial Narrow" w:hAnsi="Arial Narrow"/>
          <w:b/>
        </w:rPr>
        <w:t>-47,7</w:t>
      </w:r>
      <w:r w:rsidR="00E12102">
        <w:rPr>
          <w:rFonts w:ascii="Arial Narrow" w:hAnsi="Arial Narrow"/>
          <w:b/>
        </w:rPr>
        <w:t xml:space="preserve"> </w:t>
      </w:r>
      <w:r>
        <w:rPr>
          <w:rFonts w:ascii="Arial Narrow" w:hAnsi="Arial Narrow"/>
          <w:b/>
        </w:rPr>
        <w:t>στο προηγούμενο εξάμηνο</w:t>
      </w:r>
    </w:p>
    <w:p w:rsidR="00B640C8" w:rsidRPr="00C53A06" w:rsidRDefault="00B640C8" w:rsidP="00D156EE">
      <w:pPr>
        <w:numPr>
          <w:ilvl w:val="0"/>
          <w:numId w:val="3"/>
        </w:numPr>
        <w:jc w:val="both"/>
        <w:rPr>
          <w:rFonts w:ascii="Arial Narrow" w:hAnsi="Arial Narrow"/>
          <w:b/>
        </w:rPr>
      </w:pPr>
      <w:r w:rsidRPr="00C53A06">
        <w:rPr>
          <w:rFonts w:ascii="Arial Narrow" w:hAnsi="Arial Narrow"/>
          <w:b/>
        </w:rPr>
        <w:t>στη ζήτηση</w:t>
      </w:r>
      <w:r w:rsidR="00AF089D">
        <w:rPr>
          <w:rFonts w:ascii="Arial Narrow" w:hAnsi="Arial Narrow"/>
          <w:b/>
        </w:rPr>
        <w:t>,</w:t>
      </w:r>
      <w:r w:rsidRPr="00C53A06">
        <w:rPr>
          <w:rFonts w:ascii="Arial Narrow" w:hAnsi="Arial Narrow"/>
          <w:b/>
        </w:rPr>
        <w:t xml:space="preserve"> </w:t>
      </w:r>
      <w:r w:rsidR="00D5504E">
        <w:rPr>
          <w:rFonts w:ascii="Arial Narrow" w:hAnsi="Arial Narrow"/>
          <w:b/>
        </w:rPr>
        <w:t>-46,4</w:t>
      </w:r>
      <w:r w:rsidR="008811CD">
        <w:rPr>
          <w:rFonts w:ascii="Arial Narrow" w:hAnsi="Arial Narrow"/>
          <w:b/>
        </w:rPr>
        <w:t xml:space="preserve"> από </w:t>
      </w:r>
      <w:r w:rsidR="00D5504E">
        <w:rPr>
          <w:rFonts w:ascii="Arial Narrow" w:hAnsi="Arial Narrow"/>
          <w:b/>
        </w:rPr>
        <w:t>-46,5</w:t>
      </w:r>
      <w:r w:rsidR="00E12102">
        <w:rPr>
          <w:rFonts w:ascii="Arial Narrow" w:hAnsi="Arial Narrow"/>
          <w:b/>
        </w:rPr>
        <w:t xml:space="preserve"> </w:t>
      </w:r>
      <w:r w:rsidR="00D813B1">
        <w:rPr>
          <w:rFonts w:ascii="Arial Narrow" w:hAnsi="Arial Narrow"/>
          <w:b/>
        </w:rPr>
        <w:t>στο προηγούμενο εξάμηνο</w:t>
      </w:r>
    </w:p>
    <w:p w:rsidR="00B640C8" w:rsidRPr="00C53A06" w:rsidRDefault="00D813B1" w:rsidP="00D156EE">
      <w:pPr>
        <w:numPr>
          <w:ilvl w:val="0"/>
          <w:numId w:val="3"/>
        </w:numPr>
        <w:jc w:val="both"/>
        <w:rPr>
          <w:rFonts w:ascii="Arial Narrow" w:hAnsi="Arial Narrow"/>
          <w:b/>
        </w:rPr>
      </w:pPr>
      <w:r>
        <w:rPr>
          <w:rFonts w:ascii="Arial Narrow" w:hAnsi="Arial Narrow"/>
          <w:b/>
        </w:rPr>
        <w:t>στη ρευστότητα</w:t>
      </w:r>
      <w:r w:rsidR="00AF089D">
        <w:rPr>
          <w:rFonts w:ascii="Arial Narrow" w:hAnsi="Arial Narrow"/>
          <w:b/>
        </w:rPr>
        <w:t xml:space="preserve">, </w:t>
      </w:r>
      <w:r w:rsidR="00D5504E">
        <w:rPr>
          <w:rFonts w:ascii="Arial Narrow" w:hAnsi="Arial Narrow"/>
          <w:b/>
        </w:rPr>
        <w:t>-52,6 από -51,7</w:t>
      </w:r>
      <w:r w:rsidR="00E12102">
        <w:rPr>
          <w:rFonts w:ascii="Arial Narrow" w:hAnsi="Arial Narrow"/>
          <w:b/>
        </w:rPr>
        <w:t xml:space="preserve"> </w:t>
      </w:r>
      <w:r>
        <w:rPr>
          <w:rFonts w:ascii="Arial Narrow" w:hAnsi="Arial Narrow"/>
          <w:b/>
        </w:rPr>
        <w:t>στο προηγούμενο εξάμηνο</w:t>
      </w:r>
    </w:p>
    <w:p w:rsidR="00B640C8" w:rsidRDefault="00AF089D" w:rsidP="00D156EE">
      <w:pPr>
        <w:numPr>
          <w:ilvl w:val="0"/>
          <w:numId w:val="3"/>
        </w:numPr>
        <w:jc w:val="both"/>
        <w:rPr>
          <w:rFonts w:ascii="Arial Narrow" w:hAnsi="Arial Narrow"/>
          <w:b/>
        </w:rPr>
      </w:pPr>
      <w:r>
        <w:rPr>
          <w:rFonts w:ascii="Arial Narrow" w:hAnsi="Arial Narrow"/>
          <w:b/>
        </w:rPr>
        <w:t xml:space="preserve">στις παραγγελίες, </w:t>
      </w:r>
      <w:r w:rsidR="00D5504E">
        <w:rPr>
          <w:rFonts w:ascii="Arial Narrow" w:hAnsi="Arial Narrow"/>
          <w:b/>
        </w:rPr>
        <w:t>-48,5</w:t>
      </w:r>
      <w:r w:rsidR="008811CD">
        <w:rPr>
          <w:rFonts w:ascii="Arial Narrow" w:hAnsi="Arial Narrow"/>
          <w:b/>
        </w:rPr>
        <w:t xml:space="preserve"> από </w:t>
      </w:r>
      <w:r w:rsidR="00D5504E">
        <w:rPr>
          <w:rFonts w:ascii="Arial Narrow" w:hAnsi="Arial Narrow"/>
          <w:b/>
        </w:rPr>
        <w:t>-51,0</w:t>
      </w:r>
      <w:r w:rsidR="00E12102">
        <w:rPr>
          <w:rFonts w:ascii="Arial Narrow" w:hAnsi="Arial Narrow"/>
          <w:b/>
        </w:rPr>
        <w:t xml:space="preserve"> </w:t>
      </w:r>
      <w:r w:rsidR="00741635">
        <w:rPr>
          <w:rFonts w:ascii="Arial Narrow" w:hAnsi="Arial Narrow"/>
          <w:b/>
        </w:rPr>
        <w:t>στο προηγούμενο εξάμηνο</w:t>
      </w:r>
    </w:p>
    <w:p w:rsidR="00B640C8" w:rsidRDefault="00B640C8" w:rsidP="00D156EE">
      <w:pPr>
        <w:numPr>
          <w:ilvl w:val="0"/>
          <w:numId w:val="3"/>
        </w:numPr>
        <w:jc w:val="both"/>
        <w:rPr>
          <w:rFonts w:ascii="Arial Narrow" w:hAnsi="Arial Narrow"/>
          <w:b/>
        </w:rPr>
      </w:pPr>
      <w:r w:rsidRPr="00C53A06">
        <w:rPr>
          <w:rFonts w:ascii="Arial Narrow" w:hAnsi="Arial Narrow"/>
          <w:b/>
        </w:rPr>
        <w:t xml:space="preserve">στις επενδύσεις: αύξηση προβλέπει </w:t>
      </w:r>
      <w:r w:rsidR="008811CD">
        <w:rPr>
          <w:rFonts w:ascii="Arial Narrow" w:hAnsi="Arial Narrow"/>
          <w:b/>
        </w:rPr>
        <w:t xml:space="preserve">μόλις </w:t>
      </w:r>
      <w:r w:rsidRPr="00C53A06">
        <w:rPr>
          <w:rFonts w:ascii="Arial Narrow" w:hAnsi="Arial Narrow"/>
          <w:b/>
        </w:rPr>
        <w:t xml:space="preserve">το </w:t>
      </w:r>
      <w:r w:rsidR="00D5504E">
        <w:rPr>
          <w:rFonts w:ascii="Arial Narrow" w:hAnsi="Arial Narrow"/>
          <w:b/>
        </w:rPr>
        <w:t>3,6</w:t>
      </w:r>
      <w:r w:rsidR="00AF089D">
        <w:rPr>
          <w:rFonts w:ascii="Arial Narrow" w:hAnsi="Arial Narrow"/>
          <w:b/>
        </w:rPr>
        <w:t xml:space="preserve">% (από </w:t>
      </w:r>
      <w:r w:rsidR="00D5504E">
        <w:rPr>
          <w:rFonts w:ascii="Arial Narrow" w:hAnsi="Arial Narrow"/>
          <w:b/>
        </w:rPr>
        <w:t>2,1</w:t>
      </w:r>
      <w:r w:rsidRPr="00C53A06">
        <w:rPr>
          <w:rFonts w:ascii="Arial Narrow" w:hAnsi="Arial Narrow"/>
          <w:b/>
        </w:rPr>
        <w:t>%</w:t>
      </w:r>
      <w:r w:rsidR="00D5504E">
        <w:rPr>
          <w:rFonts w:ascii="Arial Narrow" w:hAnsi="Arial Narrow"/>
          <w:b/>
        </w:rPr>
        <w:t xml:space="preserve"> τον Ιούλιο 2016</w:t>
      </w:r>
      <w:r w:rsidR="00AF089D">
        <w:rPr>
          <w:rFonts w:ascii="Arial Narrow" w:hAnsi="Arial Narrow"/>
          <w:b/>
        </w:rPr>
        <w:t>)</w:t>
      </w:r>
      <w:r w:rsidRPr="00C53A06">
        <w:rPr>
          <w:rFonts w:ascii="Arial Narrow" w:hAnsi="Arial Narrow"/>
          <w:b/>
        </w:rPr>
        <w:t xml:space="preserve">, μείωση το </w:t>
      </w:r>
      <w:r w:rsidR="00D5504E">
        <w:rPr>
          <w:rFonts w:ascii="Arial Narrow" w:hAnsi="Arial Narrow"/>
          <w:b/>
        </w:rPr>
        <w:t>31,4</w:t>
      </w:r>
      <w:r w:rsidR="00D813B1">
        <w:rPr>
          <w:rFonts w:ascii="Arial Narrow" w:hAnsi="Arial Narrow"/>
          <w:b/>
        </w:rPr>
        <w:t xml:space="preserve">% και </w:t>
      </w:r>
      <w:r w:rsidR="008811CD">
        <w:rPr>
          <w:rFonts w:ascii="Arial Narrow" w:hAnsi="Arial Narrow"/>
          <w:b/>
        </w:rPr>
        <w:t>καμιά μεταβολή</w:t>
      </w:r>
      <w:r w:rsidRPr="00C53A06">
        <w:rPr>
          <w:rFonts w:ascii="Arial Narrow" w:hAnsi="Arial Narrow"/>
          <w:b/>
        </w:rPr>
        <w:t xml:space="preserve"> το </w:t>
      </w:r>
      <w:r w:rsidR="00D5504E">
        <w:rPr>
          <w:rFonts w:ascii="Arial Narrow" w:hAnsi="Arial Narrow"/>
          <w:b/>
        </w:rPr>
        <w:t>55,7</w:t>
      </w:r>
      <w:r w:rsidRPr="00C53A06">
        <w:rPr>
          <w:rFonts w:ascii="Arial Narrow" w:hAnsi="Arial Narrow"/>
          <w:b/>
        </w:rPr>
        <w:t>%</w:t>
      </w:r>
    </w:p>
    <w:p w:rsidR="00500EC9" w:rsidRDefault="00500EC9" w:rsidP="00500EC9">
      <w:pPr>
        <w:jc w:val="both"/>
        <w:rPr>
          <w:rFonts w:ascii="Arial Narrow" w:hAnsi="Arial Narrow"/>
          <w:b/>
        </w:rPr>
      </w:pPr>
      <w:r w:rsidRPr="00500EC9">
        <w:rPr>
          <w:rFonts w:ascii="Arial Narrow" w:hAnsi="Arial Narrow"/>
        </w:rPr>
        <w:t>Η πρόβλεψη για το επίπεδο των τιμών των αγαθών και υπηρεσιών είναι σταθεροποιητική καθώς το 7,4% των επιχειρήσεων αναμένει να μειώσει τις τιμές, το 5,1% να τις αυξήσει</w:t>
      </w:r>
      <w:r w:rsidRPr="00500EC9">
        <w:rPr>
          <w:rFonts w:ascii="Arial Narrow" w:hAnsi="Arial Narrow"/>
          <w:b/>
        </w:rPr>
        <w:t>, ενώ πάνω από 8 στις 10 δεν αναμένουν καμιά μεταβολή</w:t>
      </w:r>
      <w:r>
        <w:rPr>
          <w:rFonts w:ascii="Arial Narrow" w:hAnsi="Arial Narrow"/>
          <w:b/>
        </w:rPr>
        <w:t>.</w:t>
      </w:r>
    </w:p>
    <w:p w:rsidR="00500EC9" w:rsidRDefault="00663255" w:rsidP="00500EC9">
      <w:pPr>
        <w:jc w:val="both"/>
        <w:rPr>
          <w:rFonts w:ascii="Arial Narrow" w:hAnsi="Arial Narrow"/>
        </w:rPr>
      </w:pPr>
      <w:r>
        <w:rPr>
          <w:rFonts w:ascii="Arial Narrow" w:hAnsi="Arial Narrow"/>
        </w:rPr>
        <w:t xml:space="preserve">Η τάση αποεπένδυσης και η μειωμένη ρευστότητα </w:t>
      </w:r>
      <w:r w:rsidR="00DA692A">
        <w:rPr>
          <w:rFonts w:ascii="Arial Narrow" w:hAnsi="Arial Narrow"/>
        </w:rPr>
        <w:t>διατηρείται</w:t>
      </w:r>
      <w:r w:rsidR="008811CD">
        <w:rPr>
          <w:rFonts w:ascii="Arial Narrow" w:hAnsi="Arial Narrow"/>
        </w:rPr>
        <w:t xml:space="preserve"> ως ένα διαρθρωτικό χαρακτηριστικό </w:t>
      </w:r>
      <w:r w:rsidR="00327027">
        <w:rPr>
          <w:rFonts w:ascii="Arial Narrow" w:hAnsi="Arial Narrow"/>
        </w:rPr>
        <w:t xml:space="preserve">της </w:t>
      </w:r>
      <w:r w:rsidR="00DA692A">
        <w:rPr>
          <w:rFonts w:ascii="Arial Narrow" w:hAnsi="Arial Narrow"/>
        </w:rPr>
        <w:t>ελληνικής μικρομεσαίας επιχειρηματικότητας</w:t>
      </w:r>
      <w:r w:rsidR="00327027">
        <w:rPr>
          <w:rFonts w:ascii="Arial Narrow" w:hAnsi="Arial Narrow"/>
        </w:rPr>
        <w:t xml:space="preserve"> και συνεχίζει να </w:t>
      </w:r>
      <w:r w:rsidR="00DA692A">
        <w:rPr>
          <w:rFonts w:ascii="Arial Narrow" w:hAnsi="Arial Narrow"/>
        </w:rPr>
        <w:t>επηρεάζει αρνητικά τις προοπτικές ανάκαμψης</w:t>
      </w:r>
      <w:r>
        <w:rPr>
          <w:rFonts w:ascii="Arial Narrow" w:hAnsi="Arial Narrow"/>
        </w:rPr>
        <w:t>.</w:t>
      </w:r>
      <w:r w:rsidRPr="00663255">
        <w:t xml:space="preserve"> </w:t>
      </w:r>
      <w:r w:rsidRPr="00E575BD">
        <w:rPr>
          <w:rFonts w:ascii="Arial Narrow" w:hAnsi="Arial Narrow"/>
        </w:rPr>
        <w:t xml:space="preserve">Σύμφωνα με στοιχεία της </w:t>
      </w:r>
      <w:proofErr w:type="spellStart"/>
      <w:r w:rsidRPr="00E575BD">
        <w:rPr>
          <w:rFonts w:ascii="Arial Narrow" w:hAnsi="Arial Narrow"/>
        </w:rPr>
        <w:t>ΤτΕ</w:t>
      </w:r>
      <w:proofErr w:type="spellEnd"/>
      <w:r w:rsidR="007428D6" w:rsidRPr="00E575BD">
        <w:rPr>
          <w:rFonts w:ascii="Arial Narrow" w:hAnsi="Arial Narrow"/>
        </w:rPr>
        <w:t xml:space="preserve"> (Στατιστι</w:t>
      </w:r>
      <w:r w:rsidR="00500EC9" w:rsidRPr="00E575BD">
        <w:rPr>
          <w:rFonts w:ascii="Arial Narrow" w:hAnsi="Arial Narrow"/>
        </w:rPr>
        <w:t>κό Δελτίο Οικονομικής Συγκυρίας</w:t>
      </w:r>
      <w:r w:rsidR="007428D6" w:rsidRPr="00E575BD">
        <w:rPr>
          <w:rFonts w:ascii="Arial Narrow" w:hAnsi="Arial Narrow"/>
        </w:rPr>
        <w:t>)</w:t>
      </w:r>
      <w:r w:rsidRPr="00E575BD">
        <w:rPr>
          <w:rFonts w:ascii="Arial Narrow" w:hAnsi="Arial Narrow"/>
        </w:rPr>
        <w:t xml:space="preserve">, </w:t>
      </w:r>
      <w:r w:rsidR="007428D6" w:rsidRPr="00E575BD">
        <w:rPr>
          <w:rFonts w:ascii="Arial Narrow" w:hAnsi="Arial Narrow"/>
        </w:rPr>
        <w:t xml:space="preserve">ο βαθμός χρησιμοποίησης </w:t>
      </w:r>
      <w:r w:rsidRPr="00E575BD">
        <w:rPr>
          <w:rFonts w:ascii="Arial Narrow" w:hAnsi="Arial Narrow"/>
        </w:rPr>
        <w:t>του εργοστασιακού δυναμικού</w:t>
      </w:r>
      <w:r w:rsidR="00E575BD" w:rsidRPr="00E575BD">
        <w:rPr>
          <w:rFonts w:ascii="Arial Narrow" w:hAnsi="Arial Narrow"/>
        </w:rPr>
        <w:t xml:space="preserve"> στα κεφαλαιακά αγαθά</w:t>
      </w:r>
      <w:r w:rsidRPr="00E575BD">
        <w:rPr>
          <w:rFonts w:ascii="Arial Narrow" w:hAnsi="Arial Narrow"/>
        </w:rPr>
        <w:t xml:space="preserve"> βρίσκεται στο</w:t>
      </w:r>
      <w:r w:rsidR="007428D6" w:rsidRPr="00E575BD">
        <w:rPr>
          <w:rFonts w:ascii="Arial Narrow" w:hAnsi="Arial Narrow"/>
        </w:rPr>
        <w:t xml:space="preserve"> 65</w:t>
      </w:r>
      <w:r w:rsidR="00E10BFA" w:rsidRPr="00E575BD">
        <w:rPr>
          <w:rFonts w:ascii="Arial Narrow" w:hAnsi="Arial Narrow"/>
        </w:rPr>
        <w:t>,</w:t>
      </w:r>
      <w:r w:rsidR="00E575BD" w:rsidRPr="00E575BD">
        <w:rPr>
          <w:rFonts w:ascii="Arial Narrow" w:hAnsi="Arial Narrow"/>
        </w:rPr>
        <w:t>5</w:t>
      </w:r>
      <w:r w:rsidR="007428D6" w:rsidRPr="00E575BD">
        <w:rPr>
          <w:rFonts w:ascii="Arial Narrow" w:hAnsi="Arial Narrow"/>
        </w:rPr>
        <w:t>%</w:t>
      </w:r>
      <w:r w:rsidRPr="00E575BD">
        <w:rPr>
          <w:rFonts w:ascii="Arial Narrow" w:hAnsi="Arial Narrow"/>
        </w:rPr>
        <w:t>, γεγονός που σημαίνει αδρανείς παραγωγικοί πόροι</w:t>
      </w:r>
      <w:r w:rsidR="007428D6" w:rsidRPr="00E575BD">
        <w:rPr>
          <w:rFonts w:ascii="Arial Narrow" w:hAnsi="Arial Narrow"/>
        </w:rPr>
        <w:t xml:space="preserve"> αφορούν το 1/3  του σχηματισμένου παγίου κεφαλαίου.</w:t>
      </w:r>
      <w:r w:rsidR="00AA4058">
        <w:rPr>
          <w:rFonts w:ascii="Arial Narrow" w:hAnsi="Arial Narrow"/>
        </w:rPr>
        <w:t xml:space="preserve"> </w:t>
      </w:r>
      <w:r w:rsidR="0026425F">
        <w:rPr>
          <w:rFonts w:ascii="Arial Narrow" w:hAnsi="Arial Narrow"/>
        </w:rPr>
        <w:t xml:space="preserve"> </w:t>
      </w:r>
      <w:r w:rsidR="00AA4058" w:rsidRPr="00AA4058">
        <w:rPr>
          <w:rFonts w:ascii="Arial Narrow" w:hAnsi="Arial Narrow"/>
        </w:rPr>
        <w:t xml:space="preserve">Οι </w:t>
      </w:r>
      <w:r w:rsidR="00DA692A">
        <w:rPr>
          <w:rFonts w:ascii="Arial Narrow" w:hAnsi="Arial Narrow"/>
        </w:rPr>
        <w:t>περιορισμένες</w:t>
      </w:r>
      <w:r w:rsidR="00AA4058" w:rsidRPr="00AA4058">
        <w:rPr>
          <w:rFonts w:ascii="Arial Narrow" w:hAnsi="Arial Narrow"/>
        </w:rPr>
        <w:t xml:space="preserve"> προοπτικές για </w:t>
      </w:r>
      <w:r w:rsidR="00DA692A">
        <w:rPr>
          <w:rFonts w:ascii="Arial Narrow" w:hAnsi="Arial Narrow"/>
        </w:rPr>
        <w:t>ανάληψη νέων επενδύσεων</w:t>
      </w:r>
      <w:r w:rsidR="00AA4058" w:rsidRPr="00AA4058">
        <w:rPr>
          <w:rFonts w:ascii="Arial Narrow" w:hAnsi="Arial Narrow"/>
        </w:rPr>
        <w:t xml:space="preserve"> αντανακλώνται και στο χαμηλό ποσοστό των επιχειρήσεων</w:t>
      </w:r>
      <w:r w:rsidR="00DA692A">
        <w:rPr>
          <w:rFonts w:ascii="Arial Narrow" w:hAnsi="Arial Narrow"/>
        </w:rPr>
        <w:t xml:space="preserve"> (6,4%)</w:t>
      </w:r>
      <w:r w:rsidR="00AA4058" w:rsidRPr="00AA4058">
        <w:rPr>
          <w:rFonts w:ascii="Arial Narrow" w:hAnsi="Arial Narrow"/>
        </w:rPr>
        <w:t xml:space="preserve"> που </w:t>
      </w:r>
      <w:r w:rsidR="00DA692A">
        <w:rPr>
          <w:rFonts w:ascii="Arial Narrow" w:hAnsi="Arial Narrow"/>
        </w:rPr>
        <w:t xml:space="preserve">έχουν υπαχθεί στα πρόσφατα προγράμματα επενδύσεων </w:t>
      </w:r>
      <w:r w:rsidR="00AA4058" w:rsidRPr="00AA4058">
        <w:rPr>
          <w:rFonts w:ascii="Arial Narrow" w:hAnsi="Arial Narrow"/>
        </w:rPr>
        <w:t xml:space="preserve"> (</w:t>
      </w:r>
      <w:r w:rsidR="00DA692A">
        <w:rPr>
          <w:rFonts w:ascii="Arial Narrow" w:hAnsi="Arial Narrow"/>
        </w:rPr>
        <w:t>κατά κύριο λόγο ΕΣΠΑ</w:t>
      </w:r>
      <w:r w:rsidR="00DB6300">
        <w:rPr>
          <w:rFonts w:ascii="Arial Narrow" w:hAnsi="Arial Narrow"/>
        </w:rPr>
        <w:t>), ενώ η ζήτηση</w:t>
      </w:r>
      <w:r w:rsidR="001741D2">
        <w:rPr>
          <w:rFonts w:ascii="Arial Narrow" w:hAnsi="Arial Narrow"/>
        </w:rPr>
        <w:t xml:space="preserve"> για επενδυτική ενίσχυση</w:t>
      </w:r>
      <w:r w:rsidR="00DB6300">
        <w:rPr>
          <w:rFonts w:ascii="Arial Narrow" w:hAnsi="Arial Narrow"/>
        </w:rPr>
        <w:t xml:space="preserve"> αφορά πάνω από το </w:t>
      </w:r>
      <w:r w:rsidR="001741D2" w:rsidRPr="001741D2">
        <w:rPr>
          <w:rFonts w:ascii="Arial Narrow" w:hAnsi="Arial Narrow"/>
        </w:rPr>
        <w:t>19</w:t>
      </w:r>
      <w:r w:rsidR="00DB6300" w:rsidRPr="001741D2">
        <w:rPr>
          <w:rFonts w:ascii="Arial Narrow" w:hAnsi="Arial Narrow"/>
        </w:rPr>
        <w:t>%</w:t>
      </w:r>
      <w:r w:rsidR="00DB6300">
        <w:rPr>
          <w:rFonts w:ascii="Arial Narrow" w:hAnsi="Arial Narrow"/>
        </w:rPr>
        <w:t xml:space="preserve"> των επιχειρήσεων.</w:t>
      </w:r>
    </w:p>
    <w:p w:rsidR="00DB6300" w:rsidRDefault="00DB6300" w:rsidP="00500EC9">
      <w:pPr>
        <w:jc w:val="both"/>
        <w:rPr>
          <w:rFonts w:ascii="Arial Narrow" w:hAnsi="Arial Narrow"/>
        </w:rPr>
      </w:pPr>
    </w:p>
    <w:p w:rsidR="00D5504E" w:rsidRDefault="009660EF" w:rsidP="009C62AF">
      <w:pPr>
        <w:tabs>
          <w:tab w:val="left" w:pos="4530"/>
        </w:tabs>
        <w:jc w:val="both"/>
        <w:rPr>
          <w:rFonts w:asciiTheme="minorHAnsi" w:hAnsiTheme="minorHAnsi"/>
          <w:b/>
          <w:bCs/>
          <w:sz w:val="20"/>
          <w:szCs w:val="20"/>
          <w:u w:val="single"/>
        </w:rPr>
      </w:pPr>
      <w:r w:rsidRPr="00236915">
        <w:rPr>
          <w:rFonts w:asciiTheme="minorHAnsi" w:hAnsiTheme="minorHAnsi"/>
          <w:b/>
          <w:bCs/>
          <w:sz w:val="20"/>
          <w:szCs w:val="20"/>
          <w:u w:val="single"/>
        </w:rPr>
        <w:t>ΓΡΑΦΗΜΑ 2- ΠΡΟΒΛΕΨΗ ΕΠΟΜΕΝΟΥ ΕΞΑΜΗΝΟΥ</w:t>
      </w:r>
      <w:r w:rsidR="009C62AF">
        <w:rPr>
          <w:rFonts w:asciiTheme="minorHAnsi" w:hAnsiTheme="minorHAnsi"/>
          <w:b/>
          <w:bCs/>
          <w:sz w:val="20"/>
          <w:szCs w:val="20"/>
          <w:u w:val="single"/>
        </w:rPr>
        <w:t>-</w:t>
      </w:r>
      <w:r w:rsidR="009C62AF" w:rsidRPr="009C62AF">
        <w:rPr>
          <w:rFonts w:asciiTheme="minorHAnsi" w:hAnsiTheme="minorHAnsi"/>
          <w:b/>
          <w:bCs/>
          <w:sz w:val="20"/>
          <w:szCs w:val="20"/>
          <w:u w:val="single"/>
        </w:rPr>
        <w:t xml:space="preserve"> </w:t>
      </w:r>
      <w:r w:rsidR="009C62AF">
        <w:rPr>
          <w:rFonts w:asciiTheme="minorHAnsi" w:hAnsiTheme="minorHAnsi"/>
          <w:b/>
          <w:bCs/>
          <w:sz w:val="20"/>
          <w:szCs w:val="20"/>
          <w:u w:val="single"/>
        </w:rPr>
        <w:t>ΣΥΓΚΕΝΤΡΩΤΙΚΟΙ ΔΕΙΚΤΕΣ</w:t>
      </w:r>
    </w:p>
    <w:p w:rsidR="009C62AF" w:rsidRPr="009C62AF" w:rsidRDefault="009C62AF" w:rsidP="009C62AF">
      <w:pPr>
        <w:tabs>
          <w:tab w:val="left" w:pos="4530"/>
        </w:tabs>
        <w:jc w:val="both"/>
        <w:rPr>
          <w:rFonts w:asciiTheme="minorHAnsi" w:hAnsiTheme="minorHAnsi"/>
          <w:b/>
          <w:bCs/>
          <w:sz w:val="20"/>
          <w:szCs w:val="20"/>
          <w:u w:val="single"/>
        </w:rPr>
      </w:pPr>
    </w:p>
    <w:p w:rsidR="00DB6300" w:rsidRDefault="00DA692A" w:rsidP="001741D2">
      <w:pPr>
        <w:ind w:left="357"/>
        <w:jc w:val="both"/>
        <w:rPr>
          <w:rFonts w:asciiTheme="minorHAnsi" w:hAnsiTheme="minorHAnsi"/>
          <w:noProof/>
          <w:sz w:val="20"/>
          <w:szCs w:val="20"/>
        </w:rPr>
      </w:pPr>
      <w:r w:rsidRPr="00DA692A">
        <w:rPr>
          <w:rFonts w:asciiTheme="minorHAnsi" w:hAnsiTheme="minorHAnsi"/>
          <w:noProof/>
          <w:sz w:val="20"/>
          <w:szCs w:val="20"/>
        </w:rPr>
        <w:drawing>
          <wp:inline distT="0" distB="0" distL="0" distR="0" wp14:anchorId="5025B598" wp14:editId="51B459BD">
            <wp:extent cx="4714875" cy="2667000"/>
            <wp:effectExtent l="0" t="0" r="9525" b="1905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67C8" w:rsidRPr="00500EC9" w:rsidRDefault="004C67C8" w:rsidP="004C67C8">
      <w:pPr>
        <w:jc w:val="both"/>
        <w:rPr>
          <w:rFonts w:asciiTheme="minorHAnsi" w:hAnsiTheme="minorHAnsi"/>
          <w:noProof/>
          <w:sz w:val="20"/>
          <w:szCs w:val="20"/>
        </w:rPr>
      </w:pPr>
    </w:p>
    <w:p w:rsidR="00671AB3" w:rsidRPr="008F2928" w:rsidRDefault="00671AB3" w:rsidP="00671AB3">
      <w:pPr>
        <w:numPr>
          <w:ilvl w:val="0"/>
          <w:numId w:val="1"/>
        </w:numPr>
        <w:tabs>
          <w:tab w:val="clear" w:pos="1080"/>
          <w:tab w:val="num" w:pos="360"/>
        </w:tabs>
        <w:ind w:left="360"/>
        <w:jc w:val="both"/>
        <w:rPr>
          <w:rFonts w:ascii="Arial Narrow" w:hAnsi="Arial Narrow"/>
          <w:b/>
          <w:u w:val="single"/>
        </w:rPr>
      </w:pPr>
      <w:r>
        <w:rPr>
          <w:rFonts w:ascii="Arial Narrow" w:hAnsi="Arial Narrow"/>
          <w:b/>
          <w:u w:val="single"/>
        </w:rPr>
        <w:lastRenderedPageBreak/>
        <w:t>ΕΠΙΧΕΙΡΗΜΑΤΙΚΗ ΔΡΑΣΤΗΡΙΟΤΗΤΑ</w:t>
      </w:r>
    </w:p>
    <w:p w:rsidR="00671AB3" w:rsidRDefault="00671AB3" w:rsidP="00671AB3">
      <w:pPr>
        <w:jc w:val="both"/>
        <w:rPr>
          <w:rFonts w:ascii="Arial Narrow" w:hAnsi="Arial Narrow"/>
          <w:color w:val="FF0000"/>
        </w:rPr>
      </w:pPr>
      <w:r w:rsidRPr="008F2928">
        <w:rPr>
          <w:rFonts w:ascii="Arial Narrow" w:hAnsi="Arial Narrow"/>
          <w:sz w:val="20"/>
          <w:szCs w:val="20"/>
          <w:u w:val="single"/>
        </w:rPr>
        <w:t xml:space="preserve"> </w:t>
      </w:r>
    </w:p>
    <w:p w:rsidR="00AD6FB9" w:rsidRPr="00AD6FB9" w:rsidRDefault="00DB6300" w:rsidP="00DB6300">
      <w:pPr>
        <w:numPr>
          <w:ilvl w:val="0"/>
          <w:numId w:val="29"/>
        </w:numPr>
        <w:jc w:val="both"/>
        <w:rPr>
          <w:rFonts w:ascii="Arial Narrow" w:hAnsi="Arial Narrow"/>
        </w:rPr>
      </w:pPr>
      <w:r w:rsidRPr="00DB6300">
        <w:rPr>
          <w:rFonts w:ascii="Arial Narrow" w:hAnsi="Arial Narrow"/>
        </w:rPr>
        <w:t>Οι αρνητικές επιπτώσεις της κρίσης δεν κατανέμονται ισομερώς, καθώς  οι πολύ μικρές επιχειρήσεις, οι επιχειρήσεις της Αττικής, αλλά και ο κλάδος της μεταποίησης αντιμετωπίζουν σημαντικά προβλήματα βιωσιμότητας με μεγάλες αποκλίσεις σε σχέση με τις υπόλοιπες επιχειρήσεις.</w:t>
      </w:r>
      <w:r>
        <w:rPr>
          <w:rFonts w:ascii="Arial Narrow" w:hAnsi="Arial Narrow"/>
        </w:rPr>
        <w:t xml:space="preserve"> </w:t>
      </w:r>
      <w:r w:rsidR="00AD6FB9" w:rsidRPr="00AD6FB9">
        <w:rPr>
          <w:rFonts w:ascii="Arial Narrow" w:hAnsi="Arial Narrow"/>
          <w:b/>
        </w:rPr>
        <w:t>Σύμφωνα με στοιχεία του ΓΕΜΗ</w:t>
      </w:r>
      <w:r w:rsidR="00AD6FB9" w:rsidRPr="00AD6FB9">
        <w:rPr>
          <w:rFonts w:ascii="Arial Narrow" w:hAnsi="Arial Narrow"/>
        </w:rPr>
        <w:t xml:space="preserve">, το προηγούμενο εξάμηνο (Αύγουστος 2016- Ιανουάριος 2017) διέκοψαν τη λειτουργία τους 18,410 επιχειρήσεις (300 περισσότερες από όσες εκτιμήθηκε ότι θα κλείσουν </w:t>
      </w:r>
      <w:r w:rsidR="00AD6FB9" w:rsidRPr="00AD6FB9">
        <w:rPr>
          <w:rFonts w:ascii="Arial Narrow" w:hAnsi="Arial Narrow"/>
          <w:b/>
        </w:rPr>
        <w:t>στην έρευνα ΙΜΕ ΓΣΕΒΕΕ Ιουλίου 2016, 18,100</w:t>
      </w:r>
      <w:r w:rsidR="00AD6FB9" w:rsidRPr="00AD6FB9">
        <w:rPr>
          <w:rFonts w:ascii="Arial Narrow" w:hAnsi="Arial Narrow"/>
        </w:rPr>
        <w:t>)</w:t>
      </w:r>
      <w:r>
        <w:rPr>
          <w:rFonts w:ascii="Arial Narrow" w:hAnsi="Arial Narrow"/>
        </w:rPr>
        <w:t>, στην πλειοψηφία τους ατομικές</w:t>
      </w:r>
      <w:r w:rsidR="00AD6FB9" w:rsidRPr="00AD6FB9">
        <w:rPr>
          <w:rFonts w:ascii="Arial Narrow" w:hAnsi="Arial Narrow"/>
        </w:rPr>
        <w:t>.</w:t>
      </w:r>
    </w:p>
    <w:p w:rsidR="00663255" w:rsidRPr="0026425F" w:rsidRDefault="00E13C29" w:rsidP="00DB6300">
      <w:pPr>
        <w:pStyle w:val="aa"/>
        <w:numPr>
          <w:ilvl w:val="0"/>
          <w:numId w:val="29"/>
        </w:numPr>
        <w:jc w:val="both"/>
        <w:rPr>
          <w:rFonts w:ascii="Arial Narrow" w:hAnsi="Arial Narrow"/>
        </w:rPr>
      </w:pPr>
      <w:r w:rsidRPr="0026425F">
        <w:rPr>
          <w:rFonts w:ascii="Arial Narrow" w:hAnsi="Arial Narrow"/>
        </w:rPr>
        <w:t>Το 40,3</w:t>
      </w:r>
      <w:r w:rsidR="00150CE5" w:rsidRPr="0026425F">
        <w:rPr>
          <w:rFonts w:ascii="Arial Narrow" w:hAnsi="Arial Narrow"/>
        </w:rPr>
        <w:t xml:space="preserve">% </w:t>
      </w:r>
      <w:r w:rsidR="00AD6FB9" w:rsidRPr="0026425F">
        <w:rPr>
          <w:rFonts w:ascii="Arial Narrow" w:hAnsi="Arial Narrow"/>
        </w:rPr>
        <w:t>των επιχειρήσεων</w:t>
      </w:r>
      <w:r w:rsidR="001741D2">
        <w:rPr>
          <w:rFonts w:ascii="Arial Narrow" w:hAnsi="Arial Narrow"/>
        </w:rPr>
        <w:t xml:space="preserve"> (γράφημα 3 και 4)</w:t>
      </w:r>
      <w:r w:rsidR="00AD6FB9" w:rsidRPr="0026425F">
        <w:rPr>
          <w:rFonts w:ascii="Arial Narrow" w:hAnsi="Arial Narrow"/>
        </w:rPr>
        <w:t xml:space="preserve"> </w:t>
      </w:r>
      <w:r w:rsidR="00150CE5" w:rsidRPr="0026425F">
        <w:rPr>
          <w:rFonts w:ascii="Arial Narrow" w:hAnsi="Arial Narrow"/>
        </w:rPr>
        <w:t xml:space="preserve">θεωρεί αρκετά και πολύ πιθανό να κλείσει το επόμενο διάστημα (έναντι </w:t>
      </w:r>
      <w:r w:rsidRPr="0026425F">
        <w:rPr>
          <w:rFonts w:ascii="Arial Narrow" w:hAnsi="Arial Narrow"/>
        </w:rPr>
        <w:t>42</w:t>
      </w:r>
      <w:r w:rsidR="004A0137" w:rsidRPr="0026425F">
        <w:rPr>
          <w:rFonts w:ascii="Arial Narrow" w:hAnsi="Arial Narrow"/>
        </w:rPr>
        <w:t xml:space="preserve">% του προηγούμενου εξαμήνου). </w:t>
      </w:r>
      <w:r w:rsidR="00180073" w:rsidRPr="0026425F">
        <w:rPr>
          <w:rFonts w:ascii="Arial Narrow" w:hAnsi="Arial Narrow"/>
        </w:rPr>
        <w:t>Οι πολύ μικρές επιχειρήσεις</w:t>
      </w:r>
      <w:r w:rsidR="0015001E" w:rsidRPr="0026425F">
        <w:rPr>
          <w:rFonts w:ascii="Arial Narrow" w:hAnsi="Arial Narrow"/>
        </w:rPr>
        <w:t xml:space="preserve"> και οι αυτοαπασχολούμενοι</w:t>
      </w:r>
      <w:r w:rsidR="00180073" w:rsidRPr="0026425F">
        <w:rPr>
          <w:rFonts w:ascii="Arial Narrow" w:hAnsi="Arial Narrow"/>
        </w:rPr>
        <w:t xml:space="preserve"> παρουσιάζουν </w:t>
      </w:r>
      <w:r w:rsidRPr="0026425F">
        <w:rPr>
          <w:rFonts w:ascii="Arial Narrow" w:hAnsi="Arial Narrow"/>
        </w:rPr>
        <w:t>υπερδιπλάσιο</w:t>
      </w:r>
      <w:r w:rsidR="00180073" w:rsidRPr="0026425F">
        <w:rPr>
          <w:rFonts w:ascii="Arial Narrow" w:hAnsi="Arial Narrow"/>
        </w:rPr>
        <w:t xml:space="preserve"> κίνδυνο διακοπής της λειτουργίας τους (</w:t>
      </w:r>
      <w:r w:rsidRPr="0026425F">
        <w:rPr>
          <w:rFonts w:ascii="Arial Narrow" w:hAnsi="Arial Narrow"/>
        </w:rPr>
        <w:t>αυτοαπασχολούμενοι 57,4</w:t>
      </w:r>
      <w:r w:rsidR="00180073" w:rsidRPr="0026425F">
        <w:rPr>
          <w:rFonts w:ascii="Arial Narrow" w:hAnsi="Arial Narrow"/>
        </w:rPr>
        <w:t>%)</w:t>
      </w:r>
      <w:r w:rsidR="0015001E" w:rsidRPr="0026425F">
        <w:rPr>
          <w:rFonts w:ascii="Arial Narrow" w:hAnsi="Arial Narrow"/>
        </w:rPr>
        <w:t xml:space="preserve"> σε σχέση με τις μεγαλ</w:t>
      </w:r>
      <w:r w:rsidRPr="0026425F">
        <w:rPr>
          <w:rFonts w:ascii="Arial Narrow" w:hAnsi="Arial Narrow"/>
        </w:rPr>
        <w:t>ύτερες (από 5 άτομα και πάνω, 24,3</w:t>
      </w:r>
      <w:r w:rsidR="00180073" w:rsidRPr="0026425F">
        <w:rPr>
          <w:rFonts w:ascii="Arial Narrow" w:hAnsi="Arial Narrow"/>
        </w:rPr>
        <w:t>%).</w:t>
      </w:r>
      <w:r w:rsidR="00A74E1B" w:rsidRPr="0026425F">
        <w:rPr>
          <w:rFonts w:ascii="Arial Narrow" w:hAnsi="Arial Narrow"/>
        </w:rPr>
        <w:t xml:space="preserve"> </w:t>
      </w:r>
      <w:r w:rsidR="00DB6300" w:rsidRPr="00DB6300">
        <w:rPr>
          <w:rFonts w:ascii="Arial Narrow" w:hAnsi="Arial Narrow"/>
        </w:rPr>
        <w:t>Ο δείκτης αυτός επαληθεύει την υπόθεση ενίσχυσης του φαινομένου της αδήλωτης επαγγελματικής δραστηριότητας, που είχε ανιχνευθεί και στις προηγούμενες έρευνες κλίματος</w:t>
      </w:r>
      <w:r w:rsidR="00DB6300">
        <w:rPr>
          <w:rFonts w:ascii="Arial Narrow" w:hAnsi="Arial Narrow"/>
        </w:rPr>
        <w:t>.</w:t>
      </w:r>
      <w:r w:rsidR="00DB6300" w:rsidRPr="00DB6300">
        <w:rPr>
          <w:rFonts w:ascii="Arial Narrow" w:hAnsi="Arial Narrow"/>
        </w:rPr>
        <w:t xml:space="preserve"> </w:t>
      </w:r>
      <w:r w:rsidRPr="0026425F">
        <w:rPr>
          <w:rFonts w:ascii="Arial Narrow" w:hAnsi="Arial Narrow"/>
        </w:rPr>
        <w:t xml:space="preserve">Η μεταποίηση επίσης σημειώνει υψηλό ποσοστό κινδύνου </w:t>
      </w:r>
      <w:r w:rsidR="001741D2">
        <w:rPr>
          <w:rFonts w:ascii="Arial Narrow" w:hAnsi="Arial Narrow"/>
        </w:rPr>
        <w:t xml:space="preserve">διακοπής </w:t>
      </w:r>
      <w:r w:rsidRPr="0026425F">
        <w:rPr>
          <w:rFonts w:ascii="Arial Narrow" w:hAnsi="Arial Narrow"/>
        </w:rPr>
        <w:t>(46,9%)</w:t>
      </w:r>
      <w:r w:rsidR="00A74E1B" w:rsidRPr="0026425F">
        <w:rPr>
          <w:rFonts w:ascii="Arial Narrow" w:hAnsi="Arial Narrow"/>
        </w:rPr>
        <w:t>.</w:t>
      </w:r>
      <w:r w:rsidR="0026425F" w:rsidRPr="0026425F">
        <w:t xml:space="preserve"> </w:t>
      </w:r>
      <w:r w:rsidR="0026425F" w:rsidRPr="0026425F">
        <w:rPr>
          <w:rFonts w:ascii="Arial Narrow" w:hAnsi="Arial Narrow"/>
        </w:rPr>
        <w:t>Οι νέες επιχειρήσεις που γεννήθηκαν μέσα στην κρίση (έως 5 έτη λειτουργίας) εμφανίζονται περισσότερο ανθεκτικές.</w:t>
      </w:r>
    </w:p>
    <w:p w:rsidR="0015001E" w:rsidRDefault="00DB6300" w:rsidP="00DB6300">
      <w:pPr>
        <w:numPr>
          <w:ilvl w:val="0"/>
          <w:numId w:val="29"/>
        </w:numPr>
        <w:jc w:val="both"/>
        <w:rPr>
          <w:rFonts w:ascii="Arial Narrow" w:hAnsi="Arial Narrow"/>
        </w:rPr>
      </w:pPr>
      <w:r w:rsidRPr="00DB6300">
        <w:rPr>
          <w:rFonts w:ascii="Arial Narrow" w:hAnsi="Arial Narrow"/>
        </w:rPr>
        <w:t xml:space="preserve">Το πραγματικό πρόβλημα βιωσιμότητας που αντιμετωπίζουν οι επιχειρήσεις εμφανίζεται στην ένταση με την οποία εκδηλώνεται το φαινόμενο καθώς σχεδόν </w:t>
      </w:r>
      <w:r w:rsidRPr="00DB6300">
        <w:rPr>
          <w:rFonts w:ascii="Arial Narrow" w:hAnsi="Arial Narrow"/>
          <w:b/>
        </w:rPr>
        <w:t xml:space="preserve">1 στους 10 </w:t>
      </w:r>
      <w:r w:rsidRPr="00DB6300">
        <w:rPr>
          <w:rFonts w:ascii="Arial Narrow" w:hAnsi="Arial Narrow"/>
        </w:rPr>
        <w:t>από τους υπεύθυνους επιχειρήσεων που δηλώνουν ότι υπάρχει κίνδυνος να διακόψουν τη λειτουργία της επιχείρησης</w:t>
      </w:r>
      <w:r w:rsidRPr="00DB6300">
        <w:rPr>
          <w:rFonts w:ascii="Arial Narrow" w:hAnsi="Arial Narrow"/>
          <w:b/>
        </w:rPr>
        <w:t>, εκτιμούν ότι είναι πολύ πιθανό αυτό να συμβεί μέσα στο επόμενο τρίμηνο</w:t>
      </w:r>
      <w:r w:rsidRPr="00DB6300">
        <w:rPr>
          <w:rFonts w:ascii="Arial Narrow" w:hAnsi="Arial Narrow"/>
        </w:rPr>
        <w:t xml:space="preserve">. </w:t>
      </w:r>
      <w:r w:rsidR="0015001E">
        <w:rPr>
          <w:rFonts w:ascii="Arial Narrow" w:hAnsi="Arial Narrow"/>
        </w:rPr>
        <w:t xml:space="preserve"> </w:t>
      </w:r>
      <w:r w:rsidR="00663255" w:rsidRPr="006162CD">
        <w:rPr>
          <w:rFonts w:ascii="Arial Narrow" w:hAnsi="Arial Narrow"/>
        </w:rPr>
        <w:t xml:space="preserve">Εκτιμάται ότι η μείωση επιχειρήσεων το επόμενο εξάμηνο θα </w:t>
      </w:r>
      <w:r w:rsidR="002735B6">
        <w:rPr>
          <w:rFonts w:ascii="Arial Narrow" w:hAnsi="Arial Narrow"/>
        </w:rPr>
        <w:t>είναι περίπου  ίση με το προηγούμενο εξάμηνο (αναμένεται να διακόψουν τη δραστηριότητά</w:t>
      </w:r>
      <w:r w:rsidR="00577C37" w:rsidRPr="006162CD">
        <w:rPr>
          <w:rFonts w:ascii="Arial Narrow" w:hAnsi="Arial Narrow"/>
        </w:rPr>
        <w:t xml:space="preserve"> </w:t>
      </w:r>
      <w:r w:rsidR="002735B6">
        <w:rPr>
          <w:rFonts w:ascii="Arial Narrow" w:hAnsi="Arial Narrow"/>
        </w:rPr>
        <w:t xml:space="preserve">περίπου </w:t>
      </w:r>
      <w:r w:rsidR="00DF4C06" w:rsidRPr="00522050">
        <w:rPr>
          <w:rFonts w:ascii="Arial Narrow" w:hAnsi="Arial Narrow"/>
          <w:b/>
          <w:u w:val="single"/>
        </w:rPr>
        <w:t>18</w:t>
      </w:r>
      <w:r w:rsidR="00DA7142" w:rsidRPr="00522050">
        <w:rPr>
          <w:rFonts w:ascii="Arial Narrow" w:hAnsi="Arial Narrow"/>
          <w:b/>
          <w:u w:val="single"/>
        </w:rPr>
        <w:t>,</w:t>
      </w:r>
      <w:r w:rsidR="00295E51">
        <w:rPr>
          <w:rFonts w:ascii="Arial Narrow" w:hAnsi="Arial Narrow"/>
          <w:b/>
          <w:u w:val="single"/>
        </w:rPr>
        <w:t>7</w:t>
      </w:r>
      <w:r w:rsidR="005377DE" w:rsidRPr="00522050">
        <w:rPr>
          <w:rFonts w:ascii="Arial Narrow" w:hAnsi="Arial Narrow"/>
          <w:b/>
          <w:u w:val="single"/>
        </w:rPr>
        <w:t>00</w:t>
      </w:r>
      <w:r w:rsidR="002735B6">
        <w:rPr>
          <w:rFonts w:ascii="Arial Narrow" w:hAnsi="Arial Narrow"/>
          <w:b/>
          <w:u w:val="single"/>
        </w:rPr>
        <w:t xml:space="preserve"> επιχειρήσεις,</w:t>
      </w:r>
      <w:r w:rsidR="00044FC9" w:rsidRPr="00D641F5">
        <w:rPr>
          <w:rFonts w:ascii="Arial Narrow" w:hAnsi="Arial Narrow"/>
          <w:b/>
        </w:rPr>
        <w:t xml:space="preserve"> </w:t>
      </w:r>
      <w:r w:rsidR="002735B6">
        <w:rPr>
          <w:rFonts w:ascii="Arial Narrow" w:hAnsi="Arial Narrow"/>
        </w:rPr>
        <w:t>κυρίως πολύ μικρές</w:t>
      </w:r>
      <w:r w:rsidR="00ED3442" w:rsidRPr="006162CD">
        <w:rPr>
          <w:rFonts w:ascii="Arial Narrow" w:hAnsi="Arial Narrow"/>
        </w:rPr>
        <w:t xml:space="preserve"> </w:t>
      </w:r>
      <w:r w:rsidR="002735B6">
        <w:rPr>
          <w:rFonts w:ascii="Arial Narrow" w:hAnsi="Arial Narrow"/>
        </w:rPr>
        <w:t>και αυτοαπασχολούμενοι</w:t>
      </w:r>
      <w:r w:rsidR="0015001E">
        <w:rPr>
          <w:rFonts w:ascii="Arial Narrow" w:hAnsi="Arial Narrow"/>
        </w:rPr>
        <w:t>.</w:t>
      </w:r>
      <w:r w:rsidR="00AD6FB9">
        <w:rPr>
          <w:rFonts w:ascii="Arial Narrow" w:hAnsi="Arial Narrow"/>
        </w:rPr>
        <w:t xml:space="preserve"> </w:t>
      </w:r>
    </w:p>
    <w:p w:rsidR="0015001E" w:rsidRPr="002735B6" w:rsidRDefault="002735B6" w:rsidP="002735B6">
      <w:pPr>
        <w:numPr>
          <w:ilvl w:val="0"/>
          <w:numId w:val="29"/>
        </w:numPr>
        <w:jc w:val="both"/>
        <w:rPr>
          <w:rFonts w:ascii="Arial Narrow" w:hAnsi="Arial Narrow"/>
        </w:rPr>
      </w:pPr>
      <w:r>
        <w:rPr>
          <w:rFonts w:ascii="Arial Narrow" w:hAnsi="Arial Narrow"/>
        </w:rPr>
        <w:t>Οι υψηλές φορολογικές επιβαρύνσεις (αύξηση προκαταβολής, αύξηση ΦΠ</w:t>
      </w:r>
      <w:r w:rsidR="001741D2">
        <w:rPr>
          <w:rFonts w:ascii="Arial Narrow" w:hAnsi="Arial Narrow"/>
        </w:rPr>
        <w:t>Α και ειδικών τελών, αύξηση φορολογικού</w:t>
      </w:r>
      <w:r>
        <w:rPr>
          <w:rFonts w:ascii="Arial Narrow" w:hAnsi="Arial Narrow"/>
        </w:rPr>
        <w:t xml:space="preserve"> συντελεστή στο 29%), οι καθυστερήσεις στη ρύθμιση των κόκκινων δανείων και οι ασάφειες ως προς την εφαρμογή του νέου ασφαλιστικού νόμου επιδρούν αρνητικά στις προοπτικές μιας επιχείρησης να διατηρήσει το σύνολο της οικονομικής της δραστηριότητας. Το φαινόμενο</w:t>
      </w:r>
      <w:r w:rsidR="00A74E1B" w:rsidRPr="002735B6">
        <w:rPr>
          <w:rFonts w:ascii="Arial Narrow" w:hAnsi="Arial Narrow"/>
        </w:rPr>
        <w:t xml:space="preserve"> </w:t>
      </w:r>
      <w:r>
        <w:rPr>
          <w:rFonts w:ascii="Arial Narrow" w:hAnsi="Arial Narrow"/>
        </w:rPr>
        <w:t>της μερικώς</w:t>
      </w:r>
      <w:r w:rsidR="00A74E1B" w:rsidRPr="002735B6">
        <w:rPr>
          <w:rFonts w:ascii="Arial Narrow" w:hAnsi="Arial Narrow"/>
        </w:rPr>
        <w:t xml:space="preserve"> αδήλωτης επαγγελματικής δραστηριότητας ή της παράκαμψης της ελληνικής φορολογικής διοίκησης μέσα από επιχειρηματικά σχήματα με έδρα στο εξωτερικό</w:t>
      </w:r>
      <w:r>
        <w:rPr>
          <w:rFonts w:ascii="Arial Narrow" w:hAnsi="Arial Narrow"/>
        </w:rPr>
        <w:t xml:space="preserve"> εμφανίζεται σε έξαρση</w:t>
      </w:r>
      <w:r w:rsidR="0099000B" w:rsidRPr="002735B6">
        <w:rPr>
          <w:rFonts w:ascii="Arial Narrow" w:hAnsi="Arial Narrow"/>
        </w:rPr>
        <w:t xml:space="preserve"> (εύρημα που επιβεβαιώνεται και από τα στοιχεία της πρόσφατης μελέτης της ΕΤΕ για τις </w:t>
      </w:r>
      <w:proofErr w:type="spellStart"/>
      <w:r w:rsidR="0099000B" w:rsidRPr="002735B6">
        <w:rPr>
          <w:rFonts w:ascii="Arial Narrow" w:hAnsi="Arial Narrow"/>
        </w:rPr>
        <w:t>ΜμΕ</w:t>
      </w:r>
      <w:proofErr w:type="spellEnd"/>
      <w:r w:rsidR="0099000B" w:rsidRPr="002735B6">
        <w:rPr>
          <w:rFonts w:ascii="Arial Narrow" w:hAnsi="Arial Narrow"/>
        </w:rPr>
        <w:t>,</w:t>
      </w:r>
      <w:r w:rsidR="002709E7" w:rsidRPr="002735B6">
        <w:rPr>
          <w:rFonts w:ascii="Arial Narrow" w:hAnsi="Arial Narrow"/>
        </w:rPr>
        <w:t xml:space="preserve"> 24% δηλώνει ως πιθανή μεταφορά έδρας στο εξωτερικό,</w:t>
      </w:r>
      <w:r w:rsidR="0099000B" w:rsidRPr="002735B6">
        <w:rPr>
          <w:rFonts w:ascii="Arial Narrow" w:hAnsi="Arial Narrow"/>
        </w:rPr>
        <w:t xml:space="preserve"> Αύγουστος 2016)</w:t>
      </w:r>
      <w:r w:rsidR="00A74E1B" w:rsidRPr="002735B6">
        <w:rPr>
          <w:rFonts w:ascii="Arial Narrow" w:hAnsi="Arial Narrow"/>
        </w:rPr>
        <w:t xml:space="preserve">. </w:t>
      </w:r>
    </w:p>
    <w:p w:rsidR="00671AB3" w:rsidRPr="00FD042B" w:rsidRDefault="00671AB3" w:rsidP="00671AB3">
      <w:pPr>
        <w:ind w:left="720"/>
        <w:jc w:val="both"/>
        <w:rPr>
          <w:rFonts w:ascii="Arial Narrow" w:hAnsi="Arial Narrow"/>
        </w:rPr>
      </w:pPr>
    </w:p>
    <w:tbl>
      <w:tblPr>
        <w:tblpPr w:leftFromText="180" w:rightFromText="180" w:vertAnchor="text" w:horzAnchor="page" w:tblpXSpec="center" w:tblpY="-54"/>
        <w:tblW w:w="6345" w:type="dxa"/>
        <w:tblLayout w:type="fixed"/>
        <w:tblLook w:val="01E0" w:firstRow="1" w:lastRow="1" w:firstColumn="1" w:lastColumn="1" w:noHBand="0" w:noVBand="0"/>
      </w:tblPr>
      <w:tblGrid>
        <w:gridCol w:w="6345"/>
      </w:tblGrid>
      <w:tr w:rsidR="00671AB3" w:rsidRPr="008F2928" w:rsidTr="004A0137">
        <w:tc>
          <w:tcPr>
            <w:tcW w:w="6345" w:type="dxa"/>
          </w:tcPr>
          <w:p w:rsidR="00671AB3" w:rsidRPr="00E347CD" w:rsidRDefault="00671AB3" w:rsidP="00150CE5">
            <w:pPr>
              <w:pStyle w:val="aa"/>
              <w:rPr>
                <w:rFonts w:asciiTheme="minorHAnsi" w:hAnsiTheme="minorHAnsi"/>
                <w:b/>
                <w:bCs/>
                <w:sz w:val="20"/>
                <w:szCs w:val="20"/>
                <w:u w:val="single"/>
              </w:rPr>
            </w:pPr>
            <w:r w:rsidRPr="00E347CD">
              <w:rPr>
                <w:rFonts w:asciiTheme="minorHAnsi" w:hAnsiTheme="minorHAnsi"/>
                <w:b/>
                <w:bCs/>
                <w:sz w:val="20"/>
                <w:szCs w:val="20"/>
                <w:u w:val="single"/>
              </w:rPr>
              <w:t xml:space="preserve">ΓΡΑΦΗΜΑ </w:t>
            </w:r>
            <w:r w:rsidR="009660EF" w:rsidRPr="00E347CD">
              <w:rPr>
                <w:rFonts w:asciiTheme="minorHAnsi" w:hAnsiTheme="minorHAnsi"/>
                <w:b/>
                <w:bCs/>
                <w:sz w:val="20"/>
                <w:szCs w:val="20"/>
                <w:u w:val="single"/>
              </w:rPr>
              <w:t>3</w:t>
            </w:r>
          </w:p>
        </w:tc>
      </w:tr>
      <w:tr w:rsidR="00671AB3" w:rsidRPr="008F2928" w:rsidTr="004A0137">
        <w:tc>
          <w:tcPr>
            <w:tcW w:w="6345" w:type="dxa"/>
          </w:tcPr>
          <w:p w:rsidR="00671AB3" w:rsidRPr="00E347CD" w:rsidRDefault="00671AB3" w:rsidP="00150CE5">
            <w:pPr>
              <w:pStyle w:val="aa"/>
              <w:numPr>
                <w:ilvl w:val="0"/>
                <w:numId w:val="29"/>
              </w:numPr>
              <w:rPr>
                <w:rFonts w:asciiTheme="minorHAnsi" w:hAnsiTheme="minorHAnsi"/>
                <w:b/>
                <w:bCs/>
                <w:sz w:val="16"/>
                <w:szCs w:val="16"/>
              </w:rPr>
            </w:pPr>
            <w:r w:rsidRPr="00E347CD">
              <w:rPr>
                <w:rFonts w:asciiTheme="minorHAnsi" w:hAnsiTheme="minorHAnsi"/>
                <w:b/>
                <w:bCs/>
                <w:sz w:val="16"/>
                <w:szCs w:val="16"/>
              </w:rPr>
              <w:t>Θεωρείτε πιθανό ή όχι το ενδεχόμενο η επιχείρησή σας να έχει σοβαρό πρόβλημα λειτουργίας το επόμενο διάστημα σε βαθμό που θα κινδυνεύει να κλείσει;</w:t>
            </w:r>
            <w:r w:rsidRPr="00E347CD">
              <w:rPr>
                <w:rFonts w:asciiTheme="minorHAnsi" w:hAnsiTheme="minorHAnsi"/>
                <w:b/>
              </w:rPr>
              <w:t xml:space="preserve"> </w:t>
            </w:r>
          </w:p>
        </w:tc>
      </w:tr>
    </w:tbl>
    <w:p w:rsidR="009C62AF" w:rsidRDefault="009C62AF" w:rsidP="009C62AF">
      <w:pPr>
        <w:rPr>
          <w:rFonts w:ascii="Arial Narrow" w:hAnsi="Arial Narrow"/>
        </w:rPr>
      </w:pPr>
    </w:p>
    <w:p w:rsidR="009C62AF" w:rsidRDefault="009C62AF" w:rsidP="009C62AF">
      <w:pPr>
        <w:rPr>
          <w:rFonts w:ascii="Arial Narrow" w:hAnsi="Arial Narrow"/>
        </w:rPr>
      </w:pPr>
    </w:p>
    <w:p w:rsidR="009C62AF" w:rsidRDefault="009C62AF" w:rsidP="009C62AF">
      <w:pPr>
        <w:rPr>
          <w:rFonts w:ascii="Arial Narrow" w:hAnsi="Arial Narrow"/>
        </w:rPr>
      </w:pPr>
    </w:p>
    <w:p w:rsidR="00671AB3" w:rsidRDefault="001741D2" w:rsidP="009C62AF">
      <w:pPr>
        <w:tabs>
          <w:tab w:val="left" w:pos="1905"/>
          <w:tab w:val="left" w:pos="1985"/>
          <w:tab w:val="center" w:pos="5400"/>
        </w:tabs>
        <w:ind w:left="720"/>
        <w:rPr>
          <w:rFonts w:ascii="Arial Narrow" w:hAnsi="Arial Narrow"/>
        </w:rPr>
      </w:pPr>
      <w:r w:rsidRPr="00150CE5">
        <w:rPr>
          <w:noProof/>
        </w:rPr>
        <mc:AlternateContent>
          <mc:Choice Requires="wps">
            <w:drawing>
              <wp:anchor distT="0" distB="0" distL="114300" distR="114300" simplePos="0" relativeHeight="251717120" behindDoc="0" locked="0" layoutInCell="1" allowOverlap="1" wp14:anchorId="04E620CC" wp14:editId="0B84D75A">
                <wp:simplePos x="0" y="0"/>
                <wp:positionH relativeFrom="column">
                  <wp:posOffset>1209675</wp:posOffset>
                </wp:positionH>
                <wp:positionV relativeFrom="paragraph">
                  <wp:posOffset>36830</wp:posOffset>
                </wp:positionV>
                <wp:extent cx="1428750" cy="428625"/>
                <wp:effectExtent l="57150" t="19050" r="76200" b="104775"/>
                <wp:wrapNone/>
                <wp:docPr id="17" name="16 - TextBox"/>
                <wp:cNvGraphicFramePr/>
                <a:graphic xmlns:a="http://schemas.openxmlformats.org/drawingml/2006/main">
                  <a:graphicData uri="http://schemas.microsoft.com/office/word/2010/wordprocessingShape">
                    <wps:wsp>
                      <wps:cNvSpPr txBox="1"/>
                      <wps:spPr>
                        <a:xfrm>
                          <a:off x="0" y="0"/>
                          <a:ext cx="1428750" cy="42862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4E68C3" w:rsidRPr="00150CE5" w:rsidRDefault="004E68C3" w:rsidP="00150CE5">
                            <w:pPr>
                              <w:pStyle w:val="Web"/>
                              <w:spacing w:before="0" w:beforeAutospacing="0" w:after="0" w:afterAutospacing="0"/>
                              <w:jc w:val="center"/>
                              <w:textAlignment w:val="baseline"/>
                              <w:rPr>
                                <w:rFonts w:asciiTheme="minorHAnsi" w:hAnsiTheme="minorHAnsi"/>
                                <w:sz w:val="20"/>
                                <w:szCs w:val="20"/>
                              </w:rPr>
                            </w:pPr>
                            <w:r>
                              <w:rPr>
                                <w:rFonts w:asciiTheme="minorHAnsi" w:eastAsia="+mn-ea" w:hAnsiTheme="minorHAnsi" w:cs="Microsoft Sans Serif"/>
                                <w:b/>
                                <w:bCs/>
                                <w:color w:val="FFFFFF"/>
                                <w:kern w:val="24"/>
                                <w:sz w:val="20"/>
                                <w:szCs w:val="20"/>
                              </w:rPr>
                              <w:t>Ελάχι</w:t>
                            </w:r>
                            <w:r w:rsidRPr="00150CE5">
                              <w:rPr>
                                <w:rFonts w:asciiTheme="minorHAnsi" w:eastAsia="+mn-ea" w:hAnsiTheme="minorHAnsi" w:cs="Microsoft Sans Serif"/>
                                <w:b/>
                                <w:bCs/>
                                <w:color w:val="FFFFFF"/>
                                <w:kern w:val="24"/>
                                <w:sz w:val="20"/>
                                <w:szCs w:val="20"/>
                              </w:rPr>
                              <w:t xml:space="preserve">στα &amp; </w:t>
                            </w:r>
                            <w:r>
                              <w:rPr>
                                <w:rFonts w:asciiTheme="minorHAnsi" w:eastAsia="+mn-ea" w:hAnsiTheme="minorHAnsi" w:cs="Microsoft Sans Serif"/>
                                <w:b/>
                                <w:bCs/>
                                <w:color w:val="FFFFFF"/>
                                <w:kern w:val="24"/>
                                <w:sz w:val="20"/>
                                <w:szCs w:val="20"/>
                              </w:rPr>
                              <w:t>Καθόλου πιθανό : 57,9</w:t>
                            </w:r>
                            <w:r w:rsidRPr="00150CE5">
                              <w:rPr>
                                <w:rFonts w:asciiTheme="minorHAnsi" w:eastAsia="+mn-ea" w:hAnsiTheme="minorHAnsi" w:cs="Microsoft Sans Serif"/>
                                <w:b/>
                                <w:bCs/>
                                <w:color w:val="FFFFFF"/>
                                <w:kern w:val="24"/>
                                <w:sz w:val="20"/>
                                <w:szCs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6 - TextBox" o:spid="_x0000_s1026" type="#_x0000_t202" style="position:absolute;left:0;text-align:left;margin-left:95.25pt;margin-top:2.9pt;width:112.5pt;height:33.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" fillcolor="#769535" strokecolor="#98b954">
                <v:fill color2="#9cc746" rotate="t" angle="180" colors="0 #769535;52429f #9bc348;1 #9cc746" focus="100%" type="gradient">
                  <o:fill v:ext="view" type="gradientUnscaled"/>
                </v:fill>
                <v:shadow on="t" color="black" opacity="22937f" origin=",.5" offset="0,.63889mm"/>
                <v:textbox>
                  <w:txbxContent>
                    <w:p w:rsidR="004E68C3" w:rsidRPr="00150CE5" w:rsidRDefault="004E68C3" w:rsidP="00150CE5">
                      <w:pPr>
                        <w:pStyle w:val="Web"/>
                        <w:spacing w:before="0" w:beforeAutospacing="0" w:after="0" w:afterAutospacing="0"/>
                        <w:jc w:val="center"/>
                        <w:textAlignment w:val="baseline"/>
                        <w:rPr>
                          <w:rFonts w:asciiTheme="minorHAnsi" w:hAnsiTheme="minorHAnsi"/>
                          <w:sz w:val="20"/>
                          <w:szCs w:val="20"/>
                        </w:rPr>
                      </w:pPr>
                      <w:r>
                        <w:rPr>
                          <w:rFonts w:asciiTheme="minorHAnsi" w:eastAsia="+mn-ea" w:hAnsiTheme="minorHAnsi" w:cs="Microsoft Sans Serif"/>
                          <w:b/>
                          <w:bCs/>
                          <w:color w:val="FFFFFF"/>
                          <w:kern w:val="24"/>
                          <w:sz w:val="20"/>
                          <w:szCs w:val="20"/>
                        </w:rPr>
                        <w:t>Ελάχι</w:t>
                      </w:r>
                      <w:r w:rsidRPr="00150CE5">
                        <w:rPr>
                          <w:rFonts w:asciiTheme="minorHAnsi" w:eastAsia="+mn-ea" w:hAnsiTheme="minorHAnsi" w:cs="Microsoft Sans Serif"/>
                          <w:b/>
                          <w:bCs/>
                          <w:color w:val="FFFFFF"/>
                          <w:kern w:val="24"/>
                          <w:sz w:val="20"/>
                          <w:szCs w:val="20"/>
                        </w:rPr>
                        <w:t xml:space="preserve">στα &amp; </w:t>
                      </w:r>
                      <w:r>
                        <w:rPr>
                          <w:rFonts w:asciiTheme="minorHAnsi" w:eastAsia="+mn-ea" w:hAnsiTheme="minorHAnsi" w:cs="Microsoft Sans Serif"/>
                          <w:b/>
                          <w:bCs/>
                          <w:color w:val="FFFFFF"/>
                          <w:kern w:val="24"/>
                          <w:sz w:val="20"/>
                          <w:szCs w:val="20"/>
                        </w:rPr>
                        <w:t>Καθόλου πιθανό : 57,9</w:t>
                      </w:r>
                      <w:r w:rsidRPr="00150CE5">
                        <w:rPr>
                          <w:rFonts w:asciiTheme="minorHAnsi" w:eastAsia="+mn-ea" w:hAnsiTheme="minorHAnsi" w:cs="Microsoft Sans Serif"/>
                          <w:b/>
                          <w:bCs/>
                          <w:color w:val="FFFFFF"/>
                          <w:kern w:val="24"/>
                          <w:sz w:val="20"/>
                          <w:szCs w:val="20"/>
                        </w:rPr>
                        <w:t>%</w:t>
                      </w:r>
                    </w:p>
                  </w:txbxContent>
                </v:textbox>
              </v:shape>
            </w:pict>
          </mc:Fallback>
        </mc:AlternateContent>
      </w:r>
      <w:r w:rsidR="000117A0" w:rsidRPr="00150CE5">
        <w:rPr>
          <w:noProof/>
        </w:rPr>
        <mc:AlternateContent>
          <mc:Choice Requires="wps">
            <w:drawing>
              <wp:anchor distT="0" distB="0" distL="114300" distR="114300" simplePos="0" relativeHeight="251719168" behindDoc="0" locked="0" layoutInCell="1" allowOverlap="1" wp14:anchorId="50ED36E8" wp14:editId="37604FE7">
                <wp:simplePos x="0" y="0"/>
                <wp:positionH relativeFrom="column">
                  <wp:posOffset>3971925</wp:posOffset>
                </wp:positionH>
                <wp:positionV relativeFrom="paragraph">
                  <wp:posOffset>2016760</wp:posOffset>
                </wp:positionV>
                <wp:extent cx="1066800" cy="419100"/>
                <wp:effectExtent l="57150" t="19050" r="76200" b="95250"/>
                <wp:wrapNone/>
                <wp:docPr id="16" name="15 - TextBox"/>
                <wp:cNvGraphicFramePr/>
                <a:graphic xmlns:a="http://schemas.openxmlformats.org/drawingml/2006/main">
                  <a:graphicData uri="http://schemas.microsoft.com/office/word/2010/wordprocessingShape">
                    <wps:wsp>
                      <wps:cNvSpPr txBox="1"/>
                      <wps:spPr>
                        <a:xfrm>
                          <a:off x="0" y="0"/>
                          <a:ext cx="1066800" cy="4191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4E68C3" w:rsidRPr="00150CE5" w:rsidRDefault="004E68C3" w:rsidP="00150CE5">
                            <w:pPr>
                              <w:pStyle w:val="Web"/>
                              <w:spacing w:before="0" w:beforeAutospacing="0" w:after="0" w:afterAutospacing="0"/>
                              <w:jc w:val="center"/>
                              <w:textAlignment w:val="baseline"/>
                              <w:rPr>
                                <w:rFonts w:asciiTheme="minorHAnsi" w:hAnsiTheme="minorHAnsi"/>
                                <w:sz w:val="20"/>
                                <w:szCs w:val="20"/>
                              </w:rPr>
                            </w:pPr>
                            <w:r w:rsidRPr="00150CE5">
                              <w:rPr>
                                <w:rFonts w:asciiTheme="minorHAnsi" w:hAnsiTheme="minorHAnsi" w:cs="Microsoft Sans Serif"/>
                                <w:b/>
                                <w:bCs/>
                                <w:color w:val="FFFFFF" w:themeColor="light1"/>
                                <w:kern w:val="24"/>
                                <w:sz w:val="20"/>
                                <w:szCs w:val="20"/>
                              </w:rPr>
                              <w:t>Π</w:t>
                            </w:r>
                            <w:r>
                              <w:rPr>
                                <w:rFonts w:asciiTheme="minorHAnsi" w:hAnsiTheme="minorHAnsi" w:cs="Microsoft Sans Serif"/>
                                <w:b/>
                                <w:bCs/>
                                <w:color w:val="FFFFFF" w:themeColor="light1"/>
                                <w:kern w:val="24"/>
                                <w:sz w:val="20"/>
                                <w:szCs w:val="20"/>
                              </w:rPr>
                              <w:t>ολύ &amp; Αρκετά πιθανό: 40,3</w:t>
                            </w:r>
                            <w:r w:rsidRPr="00150CE5">
                              <w:rPr>
                                <w:rFonts w:asciiTheme="minorHAnsi" w:hAnsiTheme="minorHAnsi" w:cs="Microsoft Sans Serif"/>
                                <w:b/>
                                <w:bCs/>
                                <w:color w:val="FFFFFF" w:themeColor="light1"/>
                                <w:kern w:val="24"/>
                                <w:sz w:val="20"/>
                                <w:szCs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15 - TextBox" o:spid="_x0000_s1027" type="#_x0000_t202" style="position:absolute;left:0;text-align:left;margin-left:312.75pt;margin-top:158.8pt;width:84pt;height:3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4E68C3" w:rsidRPr="00150CE5" w:rsidRDefault="004E68C3" w:rsidP="00150CE5">
                      <w:pPr>
                        <w:pStyle w:val="Web"/>
                        <w:spacing w:before="0" w:beforeAutospacing="0" w:after="0" w:afterAutospacing="0"/>
                        <w:jc w:val="center"/>
                        <w:textAlignment w:val="baseline"/>
                        <w:rPr>
                          <w:rFonts w:asciiTheme="minorHAnsi" w:hAnsiTheme="minorHAnsi"/>
                          <w:sz w:val="20"/>
                          <w:szCs w:val="20"/>
                        </w:rPr>
                      </w:pPr>
                      <w:r w:rsidRPr="00150CE5">
                        <w:rPr>
                          <w:rFonts w:asciiTheme="minorHAnsi" w:hAnsiTheme="minorHAnsi" w:cs="Microsoft Sans Serif"/>
                          <w:b/>
                          <w:bCs/>
                          <w:color w:val="FFFFFF" w:themeColor="light1"/>
                          <w:kern w:val="24"/>
                          <w:sz w:val="20"/>
                          <w:szCs w:val="20"/>
                        </w:rPr>
                        <w:t>Π</w:t>
                      </w:r>
                      <w:r>
                        <w:rPr>
                          <w:rFonts w:asciiTheme="minorHAnsi" w:hAnsiTheme="minorHAnsi" w:cs="Microsoft Sans Serif"/>
                          <w:b/>
                          <w:bCs/>
                          <w:color w:val="FFFFFF" w:themeColor="light1"/>
                          <w:kern w:val="24"/>
                          <w:sz w:val="20"/>
                          <w:szCs w:val="20"/>
                        </w:rPr>
                        <w:t>ολύ &amp; Αρκετά πιθανό: 40,3</w:t>
                      </w:r>
                      <w:r w:rsidRPr="00150CE5">
                        <w:rPr>
                          <w:rFonts w:asciiTheme="minorHAnsi" w:hAnsiTheme="minorHAnsi" w:cs="Microsoft Sans Serif"/>
                          <w:b/>
                          <w:bCs/>
                          <w:color w:val="FFFFFF" w:themeColor="light1"/>
                          <w:kern w:val="24"/>
                          <w:sz w:val="20"/>
                          <w:szCs w:val="20"/>
                        </w:rPr>
                        <w:t>%</w:t>
                      </w:r>
                    </w:p>
                  </w:txbxContent>
                </v:textbox>
              </v:shape>
            </w:pict>
          </mc:Fallback>
        </mc:AlternateContent>
      </w:r>
      <w:r w:rsidR="009C62AF">
        <w:rPr>
          <w:rFonts w:ascii="Arial Narrow" w:hAnsi="Arial Narrow"/>
        </w:rPr>
        <w:tab/>
      </w:r>
      <w:r w:rsidR="009C62AF" w:rsidRPr="00E13C29">
        <w:rPr>
          <w:rFonts w:ascii="Arial Narrow" w:hAnsi="Arial Narrow"/>
          <w:noProof/>
        </w:rPr>
        <w:drawing>
          <wp:inline distT="0" distB="0" distL="0" distR="0" wp14:anchorId="6FDC990D" wp14:editId="7CE878A3">
            <wp:extent cx="3924300" cy="2495550"/>
            <wp:effectExtent l="0" t="0" r="19050" b="1905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1AB3" w:rsidRDefault="00671AB3" w:rsidP="00E10BFA">
      <w:pPr>
        <w:jc w:val="both"/>
        <w:rPr>
          <w:rFonts w:ascii="Arial Narrow" w:hAnsi="Arial Narrow"/>
        </w:rPr>
      </w:pPr>
    </w:p>
    <w:p w:rsidR="00671AB3" w:rsidRPr="00B1257F" w:rsidRDefault="00B1257F" w:rsidP="00671AB3">
      <w:pPr>
        <w:numPr>
          <w:ilvl w:val="0"/>
          <w:numId w:val="29"/>
        </w:numPr>
        <w:jc w:val="both"/>
        <w:rPr>
          <w:rFonts w:ascii="Arial Narrow" w:hAnsi="Arial Narrow"/>
        </w:rPr>
      </w:pPr>
      <w:r w:rsidRPr="00180073">
        <w:rPr>
          <w:rFonts w:ascii="Arial Narrow" w:hAnsi="Arial Narrow"/>
        </w:rPr>
        <w:t>Επισημαίνεται ότι σύμφωνα με το σενάριο βάσης του ΙΜΕ-ΓΣΕΒΕΕ τα πιθανά λουκέτα επιχειρήσεων, που βρίσκο</w:t>
      </w:r>
      <w:r w:rsidR="001672CB">
        <w:rPr>
          <w:rFonts w:ascii="Arial Narrow" w:hAnsi="Arial Narrow"/>
        </w:rPr>
        <w:t xml:space="preserve">νται στο «κόκκινο» συνεπάγονται </w:t>
      </w:r>
      <w:r w:rsidR="001672CB" w:rsidRPr="001672CB">
        <w:rPr>
          <w:rFonts w:ascii="Arial Narrow" w:hAnsi="Arial Narrow"/>
          <w:b/>
        </w:rPr>
        <w:t>υψηλό</w:t>
      </w:r>
      <w:r w:rsidR="001672CB">
        <w:rPr>
          <w:rFonts w:ascii="Arial Narrow" w:hAnsi="Arial Narrow"/>
        </w:rPr>
        <w:t xml:space="preserve"> </w:t>
      </w:r>
      <w:r w:rsidRPr="00180073">
        <w:rPr>
          <w:rFonts w:ascii="Arial Narrow" w:hAnsi="Arial Narrow"/>
        </w:rPr>
        <w:t xml:space="preserve">κίνδυνο απώλειας </w:t>
      </w:r>
      <w:r w:rsidR="00464220" w:rsidRPr="0094534E">
        <w:rPr>
          <w:rFonts w:ascii="Arial Narrow" w:hAnsi="Arial Narrow"/>
          <w:b/>
        </w:rPr>
        <w:t>3</w:t>
      </w:r>
      <w:r w:rsidR="0094534E" w:rsidRPr="0094534E">
        <w:rPr>
          <w:rFonts w:ascii="Arial Narrow" w:hAnsi="Arial Narrow"/>
          <w:b/>
        </w:rPr>
        <w:t>4</w:t>
      </w:r>
      <w:r w:rsidR="00E10BFA" w:rsidRPr="0094534E">
        <w:rPr>
          <w:rFonts w:ascii="Arial Narrow" w:hAnsi="Arial Narrow"/>
          <w:b/>
        </w:rPr>
        <w:t>,000</w:t>
      </w:r>
      <w:r w:rsidRPr="0094534E">
        <w:rPr>
          <w:rFonts w:ascii="Arial Narrow" w:hAnsi="Arial Narrow"/>
        </w:rPr>
        <w:t xml:space="preserve"> </w:t>
      </w:r>
      <w:r w:rsidRPr="00180073">
        <w:rPr>
          <w:rFonts w:ascii="Arial Narrow" w:hAnsi="Arial Narrow"/>
        </w:rPr>
        <w:t xml:space="preserve">θέσεων συνολικής </w:t>
      </w:r>
      <w:r w:rsidRPr="00180073">
        <w:rPr>
          <w:rFonts w:ascii="Arial Narrow" w:hAnsi="Arial Narrow"/>
        </w:rPr>
        <w:lastRenderedPageBreak/>
        <w:t>απασχόλησης (εργοδότες, αυτοαπασχολούμενοι, μισθωτοί).</w:t>
      </w:r>
      <w:r w:rsidR="008E0617">
        <w:rPr>
          <w:rFonts w:ascii="Arial Narrow" w:hAnsi="Arial Narrow"/>
        </w:rPr>
        <w:t xml:space="preserve"> Παράλληλα, από τα ευρήματα προκύπτει ότι περίπου </w:t>
      </w:r>
      <w:r w:rsidR="0094534E" w:rsidRPr="0094534E">
        <w:rPr>
          <w:rFonts w:ascii="Arial Narrow" w:hAnsi="Arial Narrow"/>
        </w:rPr>
        <w:t>10,1</w:t>
      </w:r>
      <w:r w:rsidR="008E0617" w:rsidRPr="0094534E">
        <w:rPr>
          <w:rFonts w:ascii="Arial Narrow" w:hAnsi="Arial Narrow"/>
        </w:rPr>
        <w:t xml:space="preserve">00 </w:t>
      </w:r>
      <w:proofErr w:type="spellStart"/>
      <w:r w:rsidR="008E0617">
        <w:rPr>
          <w:rFonts w:ascii="Arial Narrow" w:hAnsi="Arial Narrow"/>
        </w:rPr>
        <w:t>συμβοηθούντα</w:t>
      </w:r>
      <w:proofErr w:type="spellEnd"/>
      <w:r w:rsidR="008E0617">
        <w:rPr>
          <w:rFonts w:ascii="Arial Narrow" w:hAnsi="Arial Narrow"/>
        </w:rPr>
        <w:t xml:space="preserve"> μέλη θα βρεθούν εκτεθ</w:t>
      </w:r>
      <w:r w:rsidR="00D641F5">
        <w:rPr>
          <w:rFonts w:ascii="Arial Narrow" w:hAnsi="Arial Narrow"/>
        </w:rPr>
        <w:t>ε</w:t>
      </w:r>
      <w:r w:rsidR="008E0617">
        <w:rPr>
          <w:rFonts w:ascii="Arial Narrow" w:hAnsi="Arial Narrow"/>
        </w:rPr>
        <w:t>ιμένα σε συνθήκες πραγματικής ανεργίας.</w:t>
      </w:r>
    </w:p>
    <w:tbl>
      <w:tblPr>
        <w:tblpPr w:leftFromText="180" w:rightFromText="180" w:vertAnchor="text" w:horzAnchor="page" w:tblpX="2743" w:tblpY="104"/>
        <w:tblW w:w="5389" w:type="dxa"/>
        <w:tblLayout w:type="fixed"/>
        <w:tblLook w:val="01E0" w:firstRow="1" w:lastRow="1" w:firstColumn="1" w:lastColumn="1" w:noHBand="0" w:noVBand="0"/>
      </w:tblPr>
      <w:tblGrid>
        <w:gridCol w:w="5389"/>
      </w:tblGrid>
      <w:tr w:rsidR="002735B6" w:rsidRPr="00E347CD" w:rsidTr="002735B6">
        <w:trPr>
          <w:trHeight w:val="161"/>
        </w:trPr>
        <w:tc>
          <w:tcPr>
            <w:tcW w:w="5389" w:type="dxa"/>
          </w:tcPr>
          <w:p w:rsidR="002735B6" w:rsidRPr="00E347CD" w:rsidRDefault="002735B6" w:rsidP="002735B6">
            <w:pPr>
              <w:tabs>
                <w:tab w:val="left" w:pos="8280"/>
              </w:tabs>
              <w:ind w:right="26"/>
              <w:jc w:val="center"/>
              <w:rPr>
                <w:rFonts w:asciiTheme="minorHAnsi" w:hAnsiTheme="minorHAnsi"/>
                <w:b/>
                <w:sz w:val="20"/>
                <w:szCs w:val="20"/>
                <w:u w:val="single"/>
              </w:rPr>
            </w:pPr>
            <w:r w:rsidRPr="00E347CD">
              <w:rPr>
                <w:rFonts w:asciiTheme="minorHAnsi" w:hAnsiTheme="minorHAnsi"/>
                <w:b/>
                <w:sz w:val="20"/>
                <w:szCs w:val="20"/>
                <w:u w:val="single"/>
              </w:rPr>
              <w:t>ΓΡΑΦΗΜΑ 4</w:t>
            </w:r>
          </w:p>
        </w:tc>
      </w:tr>
      <w:tr w:rsidR="002735B6" w:rsidRPr="00E347CD" w:rsidTr="002735B6">
        <w:trPr>
          <w:trHeight w:val="356"/>
        </w:trPr>
        <w:tc>
          <w:tcPr>
            <w:tcW w:w="5389" w:type="dxa"/>
          </w:tcPr>
          <w:p w:rsidR="002735B6" w:rsidRPr="00E347CD" w:rsidRDefault="002735B6" w:rsidP="002735B6">
            <w:pPr>
              <w:tabs>
                <w:tab w:val="left" w:pos="8280"/>
              </w:tabs>
              <w:ind w:right="26"/>
              <w:jc w:val="center"/>
              <w:rPr>
                <w:rFonts w:asciiTheme="minorHAnsi" w:hAnsiTheme="minorHAnsi"/>
                <w:b/>
                <w:sz w:val="16"/>
                <w:szCs w:val="16"/>
              </w:rPr>
            </w:pPr>
            <w:r w:rsidRPr="00E347CD">
              <w:rPr>
                <w:rFonts w:asciiTheme="minorHAnsi" w:hAnsiTheme="minorHAnsi"/>
                <w:b/>
                <w:sz w:val="16"/>
                <w:szCs w:val="16"/>
              </w:rPr>
              <w:t>Φόβος για ενδεχόμενο κλείσιμο της επιχείρησης</w:t>
            </w:r>
          </w:p>
          <w:p w:rsidR="002735B6" w:rsidRPr="00E347CD" w:rsidRDefault="002735B6" w:rsidP="002735B6">
            <w:pPr>
              <w:tabs>
                <w:tab w:val="left" w:pos="8280"/>
              </w:tabs>
              <w:ind w:right="26"/>
              <w:jc w:val="center"/>
              <w:rPr>
                <w:rFonts w:asciiTheme="minorHAnsi" w:hAnsiTheme="minorHAnsi"/>
                <w:sz w:val="16"/>
                <w:szCs w:val="16"/>
              </w:rPr>
            </w:pPr>
            <w:r w:rsidRPr="00E347CD">
              <w:rPr>
                <w:rFonts w:asciiTheme="minorHAnsi" w:hAnsiTheme="minorHAnsi"/>
                <w:sz w:val="16"/>
                <w:szCs w:val="16"/>
              </w:rPr>
              <w:t>Συγκριτικό Γράφημα</w:t>
            </w:r>
          </w:p>
        </w:tc>
      </w:tr>
    </w:tbl>
    <w:p w:rsidR="004A44F0" w:rsidRPr="004A44F0" w:rsidRDefault="004A44F0" w:rsidP="00CC2C09">
      <w:pPr>
        <w:ind w:right="26"/>
        <w:jc w:val="both"/>
        <w:rPr>
          <w:rFonts w:ascii="Arial Narrow" w:hAnsi="Arial Narrow"/>
          <w:b/>
        </w:rPr>
      </w:pPr>
    </w:p>
    <w:p w:rsidR="00B1257F" w:rsidRPr="00E347CD" w:rsidRDefault="00B1257F" w:rsidP="00B1257F">
      <w:pPr>
        <w:ind w:left="360" w:right="26"/>
        <w:jc w:val="both"/>
        <w:rPr>
          <w:rFonts w:asciiTheme="minorHAnsi" w:hAnsiTheme="minorHAnsi"/>
          <w:highlight w:val="yellow"/>
        </w:rPr>
      </w:pPr>
    </w:p>
    <w:p w:rsidR="004A0137" w:rsidRDefault="004A0137" w:rsidP="00671AB3">
      <w:pPr>
        <w:jc w:val="both"/>
        <w:rPr>
          <w:rFonts w:ascii="Arial Narrow" w:hAnsi="Arial Narrow"/>
          <w:b/>
          <w:u w:val="single"/>
        </w:rPr>
      </w:pPr>
    </w:p>
    <w:p w:rsidR="00671AB3" w:rsidRDefault="002735B6" w:rsidP="002735B6">
      <w:pPr>
        <w:jc w:val="center"/>
        <w:rPr>
          <w:rFonts w:ascii="Arial Narrow" w:hAnsi="Arial Narrow"/>
          <w:b/>
          <w:u w:val="single"/>
        </w:rPr>
      </w:pPr>
      <w:r w:rsidRPr="002735B6">
        <w:rPr>
          <w:rFonts w:ascii="Arial Narrow" w:hAnsi="Arial Narrow"/>
          <w:b/>
          <w:noProof/>
        </w:rPr>
        <w:drawing>
          <wp:inline distT="0" distB="0" distL="0" distR="0" wp14:anchorId="22F913D4" wp14:editId="487A7898">
            <wp:extent cx="4933950" cy="2257425"/>
            <wp:effectExtent l="0" t="0" r="19050" b="9525"/>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0CE5" w:rsidRDefault="00150CE5" w:rsidP="00150CE5">
      <w:pPr>
        <w:pStyle w:val="aa"/>
        <w:ind w:left="1080"/>
        <w:rPr>
          <w:rFonts w:ascii="Arial Narrow" w:hAnsi="Arial Narrow"/>
          <w:b/>
          <w:u w:val="single"/>
        </w:rPr>
      </w:pPr>
    </w:p>
    <w:p w:rsidR="00C07E97" w:rsidRPr="00150CE5" w:rsidRDefault="00C07E97" w:rsidP="0088543E">
      <w:pPr>
        <w:rPr>
          <w:rFonts w:ascii="Arial Narrow" w:hAnsi="Arial Narrow"/>
          <w:b/>
          <w:u w:val="single"/>
        </w:rPr>
      </w:pPr>
    </w:p>
    <w:p w:rsidR="00323B6D" w:rsidRDefault="00B640C8" w:rsidP="004C67C8">
      <w:pPr>
        <w:pStyle w:val="aa"/>
        <w:numPr>
          <w:ilvl w:val="0"/>
          <w:numId w:val="1"/>
        </w:numPr>
        <w:tabs>
          <w:tab w:val="clear" w:pos="1080"/>
          <w:tab w:val="num" w:pos="284"/>
        </w:tabs>
        <w:ind w:left="284" w:hanging="568"/>
        <w:rPr>
          <w:rFonts w:ascii="Arial Narrow" w:hAnsi="Arial Narrow"/>
          <w:b/>
          <w:u w:val="single"/>
        </w:rPr>
      </w:pPr>
      <w:r w:rsidRPr="00577C37">
        <w:rPr>
          <w:rFonts w:ascii="Arial Narrow" w:hAnsi="Arial Narrow"/>
          <w:b/>
          <w:u w:val="single"/>
        </w:rPr>
        <w:t xml:space="preserve">ΑΠΑΣΧΟΛΗΣΗ – ΣΥΝΘΗΚΕΣ ΕΡΓΑΣΙΑΣ </w:t>
      </w:r>
      <w:r w:rsidR="00C07E97">
        <w:rPr>
          <w:rFonts w:ascii="Arial Narrow" w:hAnsi="Arial Narrow"/>
          <w:b/>
          <w:u w:val="single"/>
        </w:rPr>
        <w:t>–</w:t>
      </w:r>
      <w:r w:rsidRPr="00577C37">
        <w:rPr>
          <w:rFonts w:ascii="Arial Narrow" w:hAnsi="Arial Narrow"/>
          <w:b/>
          <w:u w:val="single"/>
        </w:rPr>
        <w:t xml:space="preserve"> ΜΙΣΘΟΙ</w:t>
      </w:r>
    </w:p>
    <w:p w:rsidR="004C67C8" w:rsidRPr="004C67C8" w:rsidRDefault="004C67C8" w:rsidP="004C67C8">
      <w:pPr>
        <w:pStyle w:val="aa"/>
        <w:ind w:left="284"/>
        <w:rPr>
          <w:rFonts w:ascii="Arial Narrow" w:hAnsi="Arial Narrow"/>
          <w:b/>
          <w:u w:val="single"/>
        </w:rPr>
      </w:pPr>
    </w:p>
    <w:p w:rsidR="00323B6D" w:rsidRPr="00E90781" w:rsidRDefault="00323B6D" w:rsidP="00323B6D">
      <w:pPr>
        <w:pStyle w:val="aa"/>
        <w:numPr>
          <w:ilvl w:val="0"/>
          <w:numId w:val="41"/>
        </w:numPr>
        <w:spacing w:after="200"/>
        <w:contextualSpacing/>
        <w:jc w:val="both"/>
        <w:rPr>
          <w:rFonts w:ascii="Arial Narrow" w:hAnsi="Arial Narrow"/>
        </w:rPr>
      </w:pPr>
      <w:r w:rsidRPr="00E90781">
        <w:rPr>
          <w:rFonts w:ascii="Arial Narrow" w:hAnsi="Arial Narrow"/>
        </w:rPr>
        <w:t>Παρά τη μικρή αποκλιμάκωση της ανεργίας, η οποία αποτυπώθηκε στα πρόσφατα στοιχεία της ΕΛΣΤΑΤ, η έρευνα του ΙΜΕ ΓΣΕΒΕΕ επικυρώνει δυο σημαντικά ευρήματα: α) Εδραίωση του υψηλού ποσοστού των ευέλικτων μορφών απασχόλησης. β) Υποκατάσταση θέσεων πλήρους απασχόλησης με αντίστοιχες θέσεις μερικής απασχόλησης.</w:t>
      </w:r>
    </w:p>
    <w:p w:rsidR="00D10A59" w:rsidRDefault="00D10A59" w:rsidP="00D10A59">
      <w:pPr>
        <w:pStyle w:val="aa"/>
        <w:spacing w:after="200" w:line="276" w:lineRule="auto"/>
        <w:ind w:left="360"/>
        <w:contextualSpacing/>
        <w:jc w:val="center"/>
        <w:rPr>
          <w:b/>
        </w:rPr>
      </w:pPr>
      <w:r w:rsidRPr="00E347CD">
        <w:rPr>
          <w:rFonts w:asciiTheme="minorHAnsi" w:hAnsiTheme="minorHAnsi"/>
          <w:b/>
          <w:sz w:val="20"/>
          <w:szCs w:val="20"/>
          <w:u w:val="single"/>
        </w:rPr>
        <w:t xml:space="preserve">ΓΡΑΦΗΜΑ </w:t>
      </w:r>
      <w:r>
        <w:rPr>
          <w:rFonts w:asciiTheme="minorHAnsi" w:hAnsiTheme="minorHAnsi"/>
          <w:b/>
          <w:sz w:val="20"/>
          <w:szCs w:val="20"/>
          <w:u w:val="single"/>
        </w:rPr>
        <w:t>5</w:t>
      </w:r>
    </w:p>
    <w:p w:rsidR="00D10A59" w:rsidRDefault="0088543E" w:rsidP="00D10A59">
      <w:pPr>
        <w:pStyle w:val="aa"/>
        <w:spacing w:after="200" w:line="276" w:lineRule="auto"/>
        <w:ind w:left="360"/>
        <w:contextualSpacing/>
        <w:jc w:val="center"/>
        <w:rPr>
          <w:rFonts w:asciiTheme="minorHAnsi" w:hAnsiTheme="minorHAnsi"/>
          <w:b/>
          <w:sz w:val="16"/>
          <w:szCs w:val="16"/>
        </w:rPr>
      </w:pPr>
      <w:r w:rsidRPr="00D10A59">
        <w:rPr>
          <w:rFonts w:asciiTheme="minorHAnsi" w:hAnsiTheme="minorHAnsi"/>
          <w:b/>
          <w:sz w:val="16"/>
          <w:szCs w:val="16"/>
        </w:rPr>
        <w:t>Διάγραμμα τάσης πλήρους και ελαστικών μορφών απασχόλησης</w:t>
      </w:r>
      <w:r w:rsidR="00D10A59">
        <w:rPr>
          <w:rFonts w:asciiTheme="minorHAnsi" w:hAnsiTheme="minorHAnsi"/>
          <w:b/>
          <w:sz w:val="16"/>
          <w:szCs w:val="16"/>
        </w:rPr>
        <w:t xml:space="preserve"> </w:t>
      </w:r>
    </w:p>
    <w:p w:rsidR="0088543E" w:rsidRDefault="00D10A59" w:rsidP="00D10A59">
      <w:pPr>
        <w:pStyle w:val="aa"/>
        <w:spacing w:after="200" w:line="276" w:lineRule="auto"/>
        <w:ind w:left="360"/>
        <w:contextualSpacing/>
        <w:jc w:val="center"/>
        <w:rPr>
          <w:rFonts w:asciiTheme="minorHAnsi" w:hAnsiTheme="minorHAnsi"/>
          <w:b/>
          <w:sz w:val="16"/>
          <w:szCs w:val="16"/>
        </w:rPr>
      </w:pPr>
      <w:r>
        <w:rPr>
          <w:rFonts w:asciiTheme="minorHAnsi" w:hAnsiTheme="minorHAnsi"/>
          <w:b/>
          <w:sz w:val="16"/>
          <w:szCs w:val="16"/>
        </w:rPr>
        <w:t>(συγκριτικό)</w:t>
      </w:r>
    </w:p>
    <w:p w:rsidR="00C07E97" w:rsidRDefault="002A2507" w:rsidP="00C07E97">
      <w:pPr>
        <w:jc w:val="both"/>
      </w:pPr>
      <w:r>
        <w:rPr>
          <w:noProof/>
        </w:rPr>
        <w:drawing>
          <wp:inline distT="0" distB="0" distL="0" distR="0" wp14:anchorId="33A4A8F2" wp14:editId="10195ECB">
            <wp:extent cx="6195060" cy="1790700"/>
            <wp:effectExtent l="0" t="0" r="15240" b="19050"/>
            <wp:docPr id="24" name="Γράφημα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C07E97" w:rsidRPr="00922AB5">
        <w:rPr>
          <w:rFonts w:asciiTheme="minorHAnsi" w:hAnsiTheme="minorHAnsi"/>
          <w:b/>
          <w:sz w:val="20"/>
          <w:szCs w:val="20"/>
        </w:rPr>
        <w:t>Πηγή</w:t>
      </w:r>
      <w:r w:rsidR="0088543E" w:rsidRPr="00922AB5">
        <w:rPr>
          <w:rFonts w:asciiTheme="minorHAnsi" w:hAnsiTheme="minorHAnsi"/>
          <w:b/>
          <w:sz w:val="20"/>
          <w:szCs w:val="20"/>
        </w:rPr>
        <w:t>:</w:t>
      </w:r>
      <w:r w:rsidR="00C07E97" w:rsidRPr="00922AB5">
        <w:rPr>
          <w:rFonts w:asciiTheme="minorHAnsi" w:hAnsiTheme="minorHAnsi"/>
          <w:b/>
          <w:sz w:val="20"/>
          <w:szCs w:val="20"/>
        </w:rPr>
        <w:t xml:space="preserve"> Εργάνη</w:t>
      </w:r>
    </w:p>
    <w:p w:rsidR="0088543E" w:rsidRDefault="0088543E" w:rsidP="00C07E97">
      <w:pPr>
        <w:jc w:val="both"/>
        <w:rPr>
          <w:highlight w:val="yellow"/>
        </w:rPr>
      </w:pPr>
    </w:p>
    <w:p w:rsidR="004C67C8" w:rsidRDefault="00323B6D" w:rsidP="008A1812">
      <w:pPr>
        <w:pStyle w:val="aa"/>
        <w:numPr>
          <w:ilvl w:val="0"/>
          <w:numId w:val="41"/>
        </w:numPr>
        <w:jc w:val="both"/>
        <w:rPr>
          <w:rFonts w:ascii="Arial Narrow" w:hAnsi="Arial Narrow"/>
        </w:rPr>
      </w:pPr>
      <w:r w:rsidRPr="004C67C8">
        <w:rPr>
          <w:rFonts w:ascii="Arial Narrow" w:hAnsi="Arial Narrow"/>
        </w:rPr>
        <w:t>Σύμφωνα με τα ευρήματα της έρευνας του ΙΜΕ ΓΣΕΒΕΕ το 48,2% των μικρών και πολύ μικρών επιχειρήσεων απασχολούν προσωπικό με ευέλικτες μορφές απασχόλησης</w:t>
      </w:r>
      <w:r w:rsidR="004C67C8" w:rsidRPr="004C67C8">
        <w:rPr>
          <w:rFonts w:ascii="Arial Narrow" w:hAnsi="Arial Narrow"/>
        </w:rPr>
        <w:t xml:space="preserve"> (γράφημα 6)</w:t>
      </w:r>
      <w:r w:rsidRPr="004C67C8">
        <w:rPr>
          <w:rFonts w:ascii="Arial Narrow" w:hAnsi="Arial Narrow"/>
        </w:rPr>
        <w:t>, ενώ το 61,7% των επιχειρήσεων που σκοπεύουν να αυξήσουν το προσωπικό τους θα προσφέρουν θέσεις πλήρους απασχόλησης</w:t>
      </w:r>
      <w:r w:rsidR="004C67C8" w:rsidRPr="004C67C8">
        <w:rPr>
          <w:rFonts w:ascii="Arial Narrow" w:hAnsi="Arial Narrow"/>
        </w:rPr>
        <w:t xml:space="preserve"> (γράφημα 7)</w:t>
      </w:r>
      <w:r w:rsidRPr="004C67C8">
        <w:rPr>
          <w:rFonts w:ascii="Arial Narrow" w:hAnsi="Arial Narrow"/>
        </w:rPr>
        <w:t>. Άλλωστε τα στοιχεία που προκύπτουν από το σύστημα Εργάνη δείχνουν ότι η αγορά εργασίας κυριαρχείται από ευέλικτες μορφές εργασίας, καθώς για το δεύτερο εξάμηνο του 2016, το 58% των νέων προσλήψεων αφορούσε θέσεις μερικής/ ή και εκ περιτροπής απασχόλησης</w:t>
      </w:r>
      <w:r w:rsidR="004C67C8">
        <w:rPr>
          <w:rFonts w:ascii="Arial Narrow" w:hAnsi="Arial Narrow"/>
        </w:rPr>
        <w:t>.</w:t>
      </w:r>
    </w:p>
    <w:p w:rsidR="004C67C8" w:rsidRPr="004C67C8" w:rsidRDefault="004C67C8" w:rsidP="004C67C8">
      <w:pPr>
        <w:pStyle w:val="aa"/>
        <w:numPr>
          <w:ilvl w:val="0"/>
          <w:numId w:val="41"/>
        </w:numPr>
        <w:jc w:val="both"/>
        <w:rPr>
          <w:rFonts w:ascii="Arial Narrow" w:hAnsi="Arial Narrow"/>
        </w:rPr>
      </w:pPr>
      <w:r w:rsidRPr="004C67C8">
        <w:rPr>
          <w:rFonts w:ascii="Arial Narrow" w:hAnsi="Arial Narrow"/>
        </w:rPr>
        <w:t>Ο ρυθμός αύξησης των ευέλικτων μορφών εργασίας σε σχέση με το προηγούμενο έτος βαίνει μειούμενος, καθώς το 37,2% δήλωσε ότι αναγκάστηκε να μειώσει περιστασιακά ώρες/ ημέρες εργασίας, ποσοστό χαμηλότερο σε σχέση με τον Φεβρουάριο του 2016 που το αντίστοιχο ποσοστό ήταν στο 45,2%</w:t>
      </w:r>
      <w:r w:rsidR="008A1812">
        <w:rPr>
          <w:rFonts w:ascii="Arial Narrow" w:hAnsi="Arial Narrow"/>
        </w:rPr>
        <w:t xml:space="preserve"> (γράφημα 8 &amp; 9)</w:t>
      </w:r>
      <w:r w:rsidRPr="004C67C8">
        <w:rPr>
          <w:rFonts w:ascii="Arial Narrow" w:hAnsi="Arial Narrow"/>
        </w:rPr>
        <w:t xml:space="preserve">. Παρόλο που το εύρημα επιβεβαιώνει μια εύθραυστη τάση αποκλιμάκωσης των ευέλικτων μορφών απασχόλησης φαίνεται ότι αυτό εξισορροπείται από μια μείωση των αποδοχών των εργαζομένων, καθώς 3 </w:t>
      </w:r>
      <w:r w:rsidRPr="004C67C8">
        <w:rPr>
          <w:rFonts w:ascii="Arial Narrow" w:hAnsi="Arial Narrow"/>
        </w:rPr>
        <w:lastRenderedPageBreak/>
        <w:t>στις 10 επιχειρήσεις δήλωσαν ότι έχουν προβεί σε μείωση των αποδοχών των εργαζομένων. Το ποσοστό αυτ</w:t>
      </w:r>
      <w:r w:rsidR="008A1812">
        <w:rPr>
          <w:rFonts w:ascii="Arial Narrow" w:hAnsi="Arial Narrow"/>
        </w:rPr>
        <w:t>ό είναι αυξημένο σε σχέση με το αντίστοιχο του Ιουλί</w:t>
      </w:r>
      <w:r w:rsidRPr="004C67C8">
        <w:rPr>
          <w:rFonts w:ascii="Arial Narrow" w:hAnsi="Arial Narrow"/>
        </w:rPr>
        <w:t>ο</w:t>
      </w:r>
      <w:r w:rsidR="008A1812">
        <w:rPr>
          <w:rFonts w:ascii="Arial Narrow" w:hAnsi="Arial Narrow"/>
        </w:rPr>
        <w:t>υ</w:t>
      </w:r>
      <w:r w:rsidRPr="004C67C8">
        <w:rPr>
          <w:rFonts w:ascii="Arial Narrow" w:hAnsi="Arial Narrow"/>
        </w:rPr>
        <w:t xml:space="preserve"> του 2016 και σχεδόν ίσο με τον Φεβρουάριο του 2016. Επιπρόσθετα, 4 στις 10 επιχειρήσεις δηλώνουν ότι αντιμετωπίζουν προβλήματα έγκαιρης καταβολής μισθοδοσίας.</w:t>
      </w:r>
    </w:p>
    <w:p w:rsidR="009455C3" w:rsidRPr="00D10A59" w:rsidRDefault="00D10A59" w:rsidP="00B35EFC">
      <w:pPr>
        <w:pStyle w:val="aa"/>
        <w:spacing w:after="200"/>
        <w:ind w:left="1800" w:firstLine="360"/>
        <w:contextualSpacing/>
        <w:rPr>
          <w:b/>
        </w:rPr>
      </w:pPr>
      <w:r w:rsidRPr="00E347CD">
        <w:rPr>
          <w:rFonts w:asciiTheme="minorHAnsi" w:hAnsiTheme="minorHAnsi"/>
          <w:b/>
          <w:sz w:val="20"/>
          <w:szCs w:val="20"/>
          <w:u w:val="single"/>
        </w:rPr>
        <w:t xml:space="preserve">ΓΡΑΦΗΜΑ </w:t>
      </w:r>
      <w:r>
        <w:rPr>
          <w:rFonts w:asciiTheme="minorHAnsi" w:hAnsiTheme="minorHAnsi"/>
          <w:b/>
          <w:sz w:val="20"/>
          <w:szCs w:val="20"/>
          <w:u w:val="single"/>
        </w:rPr>
        <w:t>6</w:t>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sidRPr="00E347CD">
        <w:rPr>
          <w:rFonts w:asciiTheme="minorHAnsi" w:hAnsiTheme="minorHAnsi"/>
          <w:b/>
          <w:sz w:val="20"/>
          <w:szCs w:val="20"/>
          <w:u w:val="single"/>
        </w:rPr>
        <w:t xml:space="preserve">ΓΡΑΦΗΜΑ </w:t>
      </w:r>
      <w:r>
        <w:rPr>
          <w:rFonts w:asciiTheme="minorHAnsi" w:hAnsiTheme="minorHAnsi"/>
          <w:b/>
          <w:sz w:val="20"/>
          <w:szCs w:val="20"/>
          <w:u w:val="single"/>
        </w:rPr>
        <w:t>7</w:t>
      </w:r>
    </w:p>
    <w:tbl>
      <w:tblPr>
        <w:tblStyle w:val="a6"/>
        <w:tblW w:w="0" w:type="auto"/>
        <w:tblInd w:w="108" w:type="dxa"/>
        <w:tblLook w:val="04A0" w:firstRow="1" w:lastRow="0" w:firstColumn="1" w:lastColumn="0" w:noHBand="0" w:noVBand="1"/>
      </w:tblPr>
      <w:tblGrid>
        <w:gridCol w:w="5040"/>
        <w:gridCol w:w="4883"/>
      </w:tblGrid>
      <w:tr w:rsidR="009455C3" w:rsidTr="009455C3">
        <w:tc>
          <w:tcPr>
            <w:tcW w:w="5040" w:type="dxa"/>
          </w:tcPr>
          <w:p w:rsidR="009455C3" w:rsidRPr="00D10A59" w:rsidRDefault="009455C3" w:rsidP="00B35EFC">
            <w:pPr>
              <w:jc w:val="center"/>
              <w:rPr>
                <w:rFonts w:asciiTheme="minorHAnsi" w:eastAsiaTheme="majorEastAsia" w:hAnsiTheme="minorHAnsi"/>
                <w:b/>
                <w:sz w:val="16"/>
                <w:szCs w:val="16"/>
              </w:rPr>
            </w:pPr>
            <w:r w:rsidRPr="00D10A59">
              <w:rPr>
                <w:rFonts w:asciiTheme="minorHAnsi" w:eastAsiaTheme="majorEastAsia" w:hAnsiTheme="minorHAnsi"/>
                <w:b/>
                <w:sz w:val="16"/>
                <w:szCs w:val="16"/>
              </w:rPr>
              <w:t>Απασχολείτε προσωπικό με μερική απασχόληση;</w:t>
            </w:r>
          </w:p>
          <w:p w:rsidR="009455C3" w:rsidRPr="00D10A59" w:rsidRDefault="009455C3" w:rsidP="00B35EFC">
            <w:pPr>
              <w:jc w:val="center"/>
              <w:rPr>
                <w:rFonts w:asciiTheme="minorHAnsi" w:hAnsiTheme="minorHAnsi"/>
                <w:sz w:val="16"/>
                <w:szCs w:val="16"/>
              </w:rPr>
            </w:pPr>
            <w:r w:rsidRPr="00D10A59">
              <w:rPr>
                <w:rFonts w:asciiTheme="minorHAnsi" w:eastAsiaTheme="majorEastAsia" w:hAnsiTheme="minorHAnsi"/>
                <w:i/>
                <w:iCs/>
                <w:sz w:val="16"/>
                <w:szCs w:val="16"/>
              </w:rPr>
              <w:t>-Βάση: Όσοι απασχολούν αμειβόμενο προσωπικό -</w:t>
            </w:r>
          </w:p>
          <w:p w:rsidR="009455C3" w:rsidRPr="009455C3" w:rsidRDefault="009455C3" w:rsidP="00B35EFC">
            <w:pPr>
              <w:jc w:val="both"/>
              <w:rPr>
                <w:b/>
                <w:sz w:val="18"/>
                <w:szCs w:val="18"/>
              </w:rPr>
            </w:pPr>
            <w:r w:rsidRPr="00D10A59">
              <w:rPr>
                <w:rFonts w:asciiTheme="minorHAnsi" w:hAnsiTheme="minorHAnsi"/>
                <w:b/>
                <w:sz w:val="16"/>
                <w:szCs w:val="16"/>
              </w:rPr>
              <w:t xml:space="preserve">   </w:t>
            </w:r>
            <w:r w:rsidR="00D10A59">
              <w:rPr>
                <w:rFonts w:asciiTheme="minorHAnsi" w:hAnsiTheme="minorHAnsi"/>
                <w:b/>
                <w:sz w:val="16"/>
                <w:szCs w:val="16"/>
              </w:rPr>
              <w:t xml:space="preserve">          </w:t>
            </w:r>
            <w:r w:rsidRPr="00D10A59">
              <w:rPr>
                <w:rFonts w:asciiTheme="minorHAnsi" w:hAnsiTheme="minorHAnsi"/>
                <w:b/>
                <w:sz w:val="16"/>
                <w:szCs w:val="16"/>
              </w:rPr>
              <w:t xml:space="preserve"> </w:t>
            </w:r>
            <w:r w:rsidR="00D10A59">
              <w:rPr>
                <w:rFonts w:asciiTheme="minorHAnsi" w:hAnsiTheme="minorHAnsi"/>
                <w:b/>
                <w:sz w:val="16"/>
                <w:szCs w:val="16"/>
              </w:rPr>
              <w:t xml:space="preserve">    </w:t>
            </w:r>
            <w:r w:rsidRPr="00D10A59">
              <w:rPr>
                <w:rFonts w:asciiTheme="minorHAnsi" w:hAnsiTheme="minorHAnsi"/>
                <w:b/>
                <w:sz w:val="16"/>
                <w:szCs w:val="16"/>
              </w:rPr>
              <w:t xml:space="preserve"> ΙΟΥΛΙΟΣ 2016                          </w:t>
            </w:r>
            <w:r w:rsidR="00D10A59">
              <w:rPr>
                <w:rFonts w:asciiTheme="minorHAnsi" w:hAnsiTheme="minorHAnsi"/>
                <w:b/>
                <w:sz w:val="16"/>
                <w:szCs w:val="16"/>
              </w:rPr>
              <w:t xml:space="preserve">        </w:t>
            </w:r>
            <w:r w:rsidRPr="00D10A59">
              <w:rPr>
                <w:rFonts w:asciiTheme="minorHAnsi" w:hAnsiTheme="minorHAnsi"/>
                <w:b/>
                <w:sz w:val="16"/>
                <w:szCs w:val="16"/>
              </w:rPr>
              <w:t xml:space="preserve"> ΦΕΒΡΟΥΑΡΙΟΣ 2017</w:t>
            </w:r>
            <w:r w:rsidRPr="009455C3">
              <w:rPr>
                <w:b/>
                <w:sz w:val="18"/>
                <w:szCs w:val="18"/>
              </w:rPr>
              <w:t xml:space="preserve">                         </w:t>
            </w:r>
          </w:p>
        </w:tc>
        <w:tc>
          <w:tcPr>
            <w:tcW w:w="4883" w:type="dxa"/>
          </w:tcPr>
          <w:p w:rsidR="009455C3" w:rsidRPr="00D10A59" w:rsidRDefault="009455C3" w:rsidP="00B35EFC">
            <w:pPr>
              <w:ind w:right="-108"/>
              <w:jc w:val="center"/>
              <w:rPr>
                <w:rFonts w:asciiTheme="minorHAnsi" w:hAnsiTheme="minorHAnsi"/>
                <w:b/>
                <w:sz w:val="16"/>
                <w:szCs w:val="16"/>
              </w:rPr>
            </w:pPr>
            <w:r w:rsidRPr="00D10A59">
              <w:rPr>
                <w:rFonts w:asciiTheme="minorHAnsi" w:hAnsiTheme="minorHAnsi"/>
                <w:b/>
                <w:sz w:val="16"/>
                <w:szCs w:val="16"/>
              </w:rPr>
              <w:t>Αν αυξήσετε το προσωπικό σας η σχέση εργασίας :</w:t>
            </w:r>
          </w:p>
          <w:p w:rsidR="009455C3" w:rsidRPr="009455C3" w:rsidRDefault="009455C3" w:rsidP="00B35EFC">
            <w:pPr>
              <w:ind w:right="-108"/>
              <w:jc w:val="center"/>
              <w:rPr>
                <w:sz w:val="20"/>
                <w:szCs w:val="20"/>
              </w:rPr>
            </w:pPr>
            <w:r w:rsidRPr="00D10A59">
              <w:rPr>
                <w:rFonts w:asciiTheme="minorHAnsi" w:hAnsiTheme="minorHAnsi"/>
                <w:sz w:val="16"/>
                <w:szCs w:val="16"/>
              </w:rPr>
              <w:t>-Βάση: όσοι απάντησαν ότι θα αυξηθεί-</w:t>
            </w:r>
          </w:p>
        </w:tc>
      </w:tr>
    </w:tbl>
    <w:p w:rsidR="00C07E97" w:rsidRDefault="00C07E97" w:rsidP="00B35EFC">
      <w:pPr>
        <w:jc w:val="both"/>
      </w:pPr>
      <w:r w:rsidRPr="002474A3">
        <w:rPr>
          <w:noProof/>
        </w:rPr>
        <w:drawing>
          <wp:inline distT="0" distB="0" distL="0" distR="0" wp14:anchorId="0D785BDA" wp14:editId="5D688400">
            <wp:extent cx="1584960" cy="1927860"/>
            <wp:effectExtent l="0" t="0" r="15240" b="15240"/>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474A3">
        <w:rPr>
          <w:noProof/>
        </w:rPr>
        <w:t xml:space="preserve"> </w:t>
      </w:r>
      <w:r w:rsidR="00384629" w:rsidRPr="002474A3">
        <w:rPr>
          <w:noProof/>
        </w:rPr>
        <w:drawing>
          <wp:inline distT="0" distB="0" distL="0" distR="0" wp14:anchorId="0D9CCA9F" wp14:editId="5315E856">
            <wp:extent cx="1539240" cy="1927860"/>
            <wp:effectExtent l="0" t="0" r="22860" b="15240"/>
            <wp:docPr id="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84629" w:rsidRPr="00332339">
        <w:rPr>
          <w:noProof/>
        </w:rPr>
        <w:drawing>
          <wp:inline distT="0" distB="0" distL="0" distR="0" wp14:anchorId="0A7F1C63" wp14:editId="4970C015">
            <wp:extent cx="3108960" cy="1927860"/>
            <wp:effectExtent l="0" t="0" r="15240" b="15240"/>
            <wp:docPr id="25" name="Γράφημα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67C8" w:rsidRDefault="004C67C8" w:rsidP="00B35EFC">
      <w:pPr>
        <w:jc w:val="both"/>
      </w:pPr>
    </w:p>
    <w:p w:rsidR="004C67C8" w:rsidRPr="004C67C8" w:rsidRDefault="00323B6D" w:rsidP="004C67C8">
      <w:pPr>
        <w:pStyle w:val="aa"/>
        <w:numPr>
          <w:ilvl w:val="0"/>
          <w:numId w:val="43"/>
        </w:numPr>
        <w:spacing w:after="200"/>
        <w:contextualSpacing/>
        <w:jc w:val="both"/>
        <w:rPr>
          <w:rFonts w:ascii="Arial Narrow" w:hAnsi="Arial Narrow"/>
        </w:rPr>
      </w:pPr>
      <w:r w:rsidRPr="00323B6D">
        <w:rPr>
          <w:rFonts w:ascii="Arial Narrow" w:hAnsi="Arial Narrow"/>
        </w:rPr>
        <w:t xml:space="preserve">Η έρευνα επιβεβαιώνει την ύπαρξη και διατήρηση μιας μορφής παραδοσιακής ευελιξίας που παρουσιάζει η ελληνική οικονομία και αφορά στον οικογενειακό χαρακτήρα πολλών μικρομεσαίων επιχειρήσεων. Το 60,1% των επιχειρήσεων δηλώνει ότι έχει στην επιχείρηση του κάποιο </w:t>
      </w:r>
      <w:proofErr w:type="spellStart"/>
      <w:r w:rsidRPr="00323B6D">
        <w:rPr>
          <w:rFonts w:ascii="Arial Narrow" w:hAnsi="Arial Narrow"/>
        </w:rPr>
        <w:t>συμβοηθούν</w:t>
      </w:r>
      <w:proofErr w:type="spellEnd"/>
      <w:r w:rsidRPr="00323B6D">
        <w:rPr>
          <w:rFonts w:ascii="Arial Narrow" w:hAnsi="Arial Narrow"/>
        </w:rPr>
        <w:t xml:space="preserve"> μέλος.</w:t>
      </w:r>
    </w:p>
    <w:p w:rsidR="009415A9" w:rsidRPr="009415A9" w:rsidRDefault="009415A9" w:rsidP="00B35EFC">
      <w:pPr>
        <w:pStyle w:val="aa"/>
        <w:spacing w:after="200"/>
        <w:ind w:left="1800"/>
        <w:contextualSpacing/>
        <w:jc w:val="both"/>
      </w:pPr>
      <w:r w:rsidRPr="009415A9">
        <w:rPr>
          <w:rFonts w:asciiTheme="minorHAnsi" w:hAnsiTheme="minorHAnsi"/>
          <w:b/>
          <w:sz w:val="20"/>
          <w:szCs w:val="20"/>
        </w:rPr>
        <w:t xml:space="preserve">    </w:t>
      </w:r>
      <w:r w:rsidRPr="00E347CD">
        <w:rPr>
          <w:rFonts w:asciiTheme="minorHAnsi" w:hAnsiTheme="minorHAnsi"/>
          <w:b/>
          <w:sz w:val="20"/>
          <w:szCs w:val="20"/>
          <w:u w:val="single"/>
        </w:rPr>
        <w:t xml:space="preserve">ΓΡΑΦΗΜΑ </w:t>
      </w:r>
      <w:r>
        <w:rPr>
          <w:rFonts w:asciiTheme="minorHAnsi" w:hAnsiTheme="minorHAnsi"/>
          <w:b/>
          <w:sz w:val="20"/>
          <w:szCs w:val="20"/>
          <w:u w:val="single"/>
        </w:rPr>
        <w:t>8</w:t>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t xml:space="preserve">         </w:t>
      </w:r>
      <w:r w:rsidRPr="00E347CD">
        <w:rPr>
          <w:rFonts w:asciiTheme="minorHAnsi" w:hAnsiTheme="minorHAnsi"/>
          <w:b/>
          <w:sz w:val="20"/>
          <w:szCs w:val="20"/>
          <w:u w:val="single"/>
        </w:rPr>
        <w:t xml:space="preserve">ΓΡΑΦΗΜΑ </w:t>
      </w:r>
      <w:r>
        <w:rPr>
          <w:rFonts w:asciiTheme="minorHAnsi" w:hAnsiTheme="minorHAnsi"/>
          <w:b/>
          <w:sz w:val="20"/>
          <w:szCs w:val="20"/>
          <w:u w:val="single"/>
        </w:rPr>
        <w:t>9</w:t>
      </w:r>
    </w:p>
    <w:tbl>
      <w:tblPr>
        <w:tblStyle w:val="a6"/>
        <w:tblW w:w="0" w:type="auto"/>
        <w:tblInd w:w="108" w:type="dxa"/>
        <w:tblLook w:val="04A0" w:firstRow="1" w:lastRow="0" w:firstColumn="1" w:lastColumn="0" w:noHBand="0" w:noVBand="1"/>
      </w:tblPr>
      <w:tblGrid>
        <w:gridCol w:w="5040"/>
        <w:gridCol w:w="4883"/>
      </w:tblGrid>
      <w:tr w:rsidR="009415A9" w:rsidTr="009415A9">
        <w:tc>
          <w:tcPr>
            <w:tcW w:w="5040" w:type="dxa"/>
          </w:tcPr>
          <w:p w:rsidR="009415A9" w:rsidRPr="009415A9" w:rsidRDefault="009415A9" w:rsidP="00B35EFC">
            <w:pPr>
              <w:jc w:val="center"/>
              <w:rPr>
                <w:rFonts w:asciiTheme="minorHAnsi" w:eastAsiaTheme="majorEastAsia" w:hAnsiTheme="minorHAnsi" w:cs="Microsoft Sans Serif"/>
                <w:b/>
                <w:sz w:val="16"/>
                <w:szCs w:val="16"/>
              </w:rPr>
            </w:pPr>
            <w:r w:rsidRPr="009415A9">
              <w:rPr>
                <w:rFonts w:asciiTheme="minorHAnsi" w:eastAsiaTheme="majorEastAsia" w:hAnsiTheme="minorHAnsi" w:cs="Microsoft Sans Serif"/>
                <w:b/>
                <w:sz w:val="16"/>
                <w:szCs w:val="16"/>
              </w:rPr>
              <w:t>Έχετε αναγκαστεί έστω και περιστασιακά να μειώσουν ώρες ή ημέρες εργασίας</w:t>
            </w:r>
          </w:p>
          <w:p w:rsidR="009415A9" w:rsidRPr="009415A9" w:rsidRDefault="009415A9" w:rsidP="00B35EFC">
            <w:pPr>
              <w:jc w:val="center"/>
              <w:rPr>
                <w:rFonts w:asciiTheme="minorHAnsi" w:eastAsiaTheme="majorEastAsia" w:hAnsiTheme="minorHAnsi" w:cs="Microsoft Sans Serif"/>
                <w:sz w:val="16"/>
                <w:szCs w:val="16"/>
              </w:rPr>
            </w:pPr>
            <w:r w:rsidRPr="009415A9">
              <w:rPr>
                <w:rFonts w:asciiTheme="minorHAnsi" w:eastAsiaTheme="majorEastAsia" w:hAnsiTheme="minorHAnsi" w:cs="Microsoft Sans Serif"/>
                <w:i/>
                <w:iCs/>
                <w:sz w:val="16"/>
                <w:szCs w:val="16"/>
              </w:rPr>
              <w:t>-Βάση: Όσοι απασχολούν αμειβόμενο προσωπικό -</w:t>
            </w:r>
            <w:r w:rsidRPr="009415A9">
              <w:rPr>
                <w:rFonts w:asciiTheme="minorHAnsi" w:eastAsiaTheme="majorEastAsia" w:hAnsiTheme="minorHAnsi" w:cs="Microsoft Sans Serif"/>
                <w:sz w:val="16"/>
                <w:szCs w:val="16"/>
              </w:rPr>
              <w:br/>
              <w:t>ΣΥΓΚΡΙΤΙΚΟ ΓΡΑΦΗΜΑ ΙΟΥΛΙΟΣ 2010 – ΦΕΒΡΟΥΑΡΙΟΣ 2017</w:t>
            </w:r>
          </w:p>
        </w:tc>
        <w:tc>
          <w:tcPr>
            <w:tcW w:w="4883" w:type="dxa"/>
          </w:tcPr>
          <w:p w:rsidR="009415A9" w:rsidRDefault="009415A9" w:rsidP="00B35EFC">
            <w:pPr>
              <w:jc w:val="center"/>
              <w:rPr>
                <w:rFonts w:asciiTheme="minorHAnsi" w:eastAsiaTheme="majorEastAsia" w:hAnsiTheme="minorHAnsi" w:cs="Microsoft Sans Serif"/>
                <w:sz w:val="16"/>
                <w:szCs w:val="16"/>
              </w:rPr>
            </w:pPr>
            <w:r w:rsidRPr="009415A9">
              <w:rPr>
                <w:rFonts w:asciiTheme="minorHAnsi" w:eastAsiaTheme="majorEastAsia" w:hAnsiTheme="minorHAnsi" w:cs="Microsoft Sans Serif"/>
                <w:b/>
                <w:sz w:val="16"/>
                <w:szCs w:val="16"/>
              </w:rPr>
              <w:t>Έχετε αναγκαστεί να μειώσουν τις αποδοχές κάποιων υπαλλήλων</w:t>
            </w:r>
            <w:r w:rsidRPr="009415A9">
              <w:rPr>
                <w:rFonts w:asciiTheme="minorHAnsi" w:eastAsiaTheme="majorEastAsia" w:hAnsiTheme="minorHAnsi" w:cs="Microsoft Sans Serif"/>
                <w:sz w:val="16"/>
                <w:szCs w:val="16"/>
              </w:rPr>
              <w:t xml:space="preserve"> </w:t>
            </w:r>
            <w:r w:rsidRPr="009415A9">
              <w:rPr>
                <w:rFonts w:asciiTheme="minorHAnsi" w:eastAsiaTheme="majorEastAsia" w:hAnsiTheme="minorHAnsi" w:cs="Microsoft Sans Serif"/>
                <w:sz w:val="16"/>
                <w:szCs w:val="16"/>
              </w:rPr>
              <w:br/>
            </w:r>
            <w:r w:rsidRPr="009415A9">
              <w:rPr>
                <w:rFonts w:asciiTheme="minorHAnsi" w:eastAsiaTheme="majorEastAsia" w:hAnsiTheme="minorHAnsi" w:cs="Microsoft Sans Serif"/>
                <w:i/>
                <w:iCs/>
                <w:sz w:val="16"/>
                <w:szCs w:val="16"/>
              </w:rPr>
              <w:t xml:space="preserve">-Βάση: Όσοι απασχολούν αμειβόμενο προσωπικό - </w:t>
            </w:r>
            <w:r w:rsidRPr="009415A9">
              <w:rPr>
                <w:rFonts w:asciiTheme="minorHAnsi" w:eastAsiaTheme="majorEastAsia" w:hAnsiTheme="minorHAnsi" w:cs="Microsoft Sans Serif"/>
                <w:sz w:val="16"/>
                <w:szCs w:val="16"/>
              </w:rPr>
              <w:br/>
            </w:r>
          </w:p>
          <w:p w:rsidR="009415A9" w:rsidRPr="009415A9" w:rsidRDefault="009415A9" w:rsidP="00B35EFC">
            <w:pPr>
              <w:jc w:val="center"/>
              <w:rPr>
                <w:rFonts w:asciiTheme="minorHAnsi" w:eastAsiaTheme="majorEastAsia" w:hAnsiTheme="minorHAnsi" w:cs="Microsoft Sans Serif"/>
                <w:sz w:val="16"/>
                <w:szCs w:val="16"/>
              </w:rPr>
            </w:pPr>
            <w:r w:rsidRPr="009415A9">
              <w:rPr>
                <w:rFonts w:asciiTheme="minorHAnsi" w:eastAsiaTheme="majorEastAsia" w:hAnsiTheme="minorHAnsi" w:cs="Microsoft Sans Serif"/>
                <w:sz w:val="16"/>
                <w:szCs w:val="16"/>
              </w:rPr>
              <w:t>ΣΥΓΚΡΙΤΙΚΟ ΓΡΑΦΗΜΑ ΙΟΥΛΙΟΣ 2010 – ΦΕΒΡΟΥΑΡΙΟΣ 2017</w:t>
            </w:r>
          </w:p>
        </w:tc>
      </w:tr>
    </w:tbl>
    <w:p w:rsidR="00C07E97" w:rsidRDefault="00C07E97" w:rsidP="00B35EFC">
      <w:pPr>
        <w:jc w:val="both"/>
      </w:pPr>
      <w:r w:rsidRPr="002474A3">
        <w:rPr>
          <w:noProof/>
        </w:rPr>
        <w:drawing>
          <wp:inline distT="0" distB="0" distL="0" distR="0" wp14:anchorId="0585AF5D" wp14:editId="74A52C11">
            <wp:extent cx="3177540" cy="2362200"/>
            <wp:effectExtent l="0" t="0" r="22860" b="1905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415A9" w:rsidRPr="002474A3">
        <w:rPr>
          <w:noProof/>
        </w:rPr>
        <w:drawing>
          <wp:inline distT="0" distB="0" distL="0" distR="0" wp14:anchorId="7F988B99" wp14:editId="1A305D5A">
            <wp:extent cx="3108960" cy="2362200"/>
            <wp:effectExtent l="0" t="0" r="15240" b="19050"/>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415A9" w:rsidRDefault="009415A9" w:rsidP="00B35EFC">
      <w:pPr>
        <w:jc w:val="both"/>
      </w:pPr>
    </w:p>
    <w:p w:rsidR="004C67C8" w:rsidRDefault="00323B6D" w:rsidP="004C67C8">
      <w:pPr>
        <w:pStyle w:val="aa"/>
        <w:numPr>
          <w:ilvl w:val="0"/>
          <w:numId w:val="41"/>
        </w:numPr>
        <w:spacing w:after="200"/>
        <w:contextualSpacing/>
        <w:jc w:val="both"/>
        <w:rPr>
          <w:rFonts w:ascii="Arial Narrow" w:hAnsi="Arial Narrow"/>
        </w:rPr>
      </w:pPr>
      <w:r w:rsidRPr="00323B6D">
        <w:rPr>
          <w:rFonts w:ascii="Arial Narrow" w:hAnsi="Arial Narrow"/>
        </w:rPr>
        <w:t xml:space="preserve">Ο δείκτης προσλήψεων- απολύσεων παρέμεινε αρνητικός στο τελευταίο εξάμηνο, αφού για κάθε 1 πρόσληψη, σημειώθηκαν 2 απολύσεις. Μείωση προσωπικού κατά το τελευταίο εξάμηνο ανέφερε το 9,2% των επιχειρήσεων,  ενώ αύξηση ανέφερε το 4,6%. Σε απόλυτα μεγέθη η απώλεια θέσεων μισθωτής απασχόλησης στις μικρές και πολύ μικρές επιχειρήσεις </w:t>
      </w:r>
      <w:r w:rsidRPr="00E90781">
        <w:rPr>
          <w:rFonts w:ascii="Arial Narrow" w:hAnsi="Arial Narrow"/>
          <w:b/>
        </w:rPr>
        <w:t>κατά το β’ εξάμηνο του 2016 ανήλθε στις 23.000</w:t>
      </w:r>
      <w:r w:rsidR="00E90781">
        <w:rPr>
          <w:rFonts w:ascii="Arial Narrow" w:hAnsi="Arial Narrow"/>
        </w:rPr>
        <w:t xml:space="preserve"> (</w:t>
      </w:r>
      <w:r w:rsidR="00E90781" w:rsidRPr="00E90781">
        <w:rPr>
          <w:rFonts w:ascii="Arial Narrow" w:hAnsi="Arial Narrow"/>
        </w:rPr>
        <w:t>στην έρευνα Ιουλίου είχαν προβλεφθεί 22,500 απώλειες)</w:t>
      </w:r>
      <w:r w:rsidRPr="00323B6D">
        <w:rPr>
          <w:rFonts w:ascii="Arial Narrow" w:hAnsi="Arial Narrow"/>
        </w:rPr>
        <w:t>. Συνολικά η απώλεια θέσεων απασχόλησης στις μικρές και πολύ μικρές επιχειρήσεις κατά το β</w:t>
      </w:r>
      <w:r w:rsidR="00E90781">
        <w:rPr>
          <w:rFonts w:ascii="Arial Narrow" w:hAnsi="Arial Narrow"/>
        </w:rPr>
        <w:t>’</w:t>
      </w:r>
      <w:r w:rsidRPr="00323B6D">
        <w:rPr>
          <w:rFonts w:ascii="Arial Narrow" w:hAnsi="Arial Narrow"/>
        </w:rPr>
        <w:t xml:space="preserve"> εξάμηνο του 2016 ανήλθε περίπου στις 56.000. Τις μεγαλύτερες απώλειες σημείωσαν οι επιχειρήσεις με 5-10 έτη λειτουργίας (12%) και ο τομέας των υπηρεσιών (12,3%). Τα ευρήματα αυτά επιβεβαιώνονται και από τα στατιστικά στοιχεία του ΠΣ Εργάνη όπου το ισοζύγιο προσλήψεων αποχωρήσεων κατά το 2ο </w:t>
      </w:r>
      <w:r w:rsidR="005968DA">
        <w:rPr>
          <w:rFonts w:ascii="Arial Narrow" w:hAnsi="Arial Narrow"/>
        </w:rPr>
        <w:t>εξάμηνο του 2016 ήταν αρνητικό</w:t>
      </w:r>
      <w:r w:rsidR="00CC7871" w:rsidRPr="005968DA">
        <w:rPr>
          <w:rFonts w:ascii="Arial Narrow" w:hAnsi="Arial Narrow"/>
        </w:rPr>
        <w:t xml:space="preserve"> (</w:t>
      </w:r>
      <w:r w:rsidR="008A1812">
        <w:rPr>
          <w:rFonts w:ascii="Arial Narrow" w:hAnsi="Arial Narrow"/>
        </w:rPr>
        <w:t>Γράφημα 10</w:t>
      </w:r>
      <w:r w:rsidR="00CC7871" w:rsidRPr="005968DA">
        <w:rPr>
          <w:rFonts w:ascii="Arial Narrow" w:hAnsi="Arial Narrow"/>
        </w:rPr>
        <w:t>).</w:t>
      </w:r>
    </w:p>
    <w:p w:rsidR="00801B41" w:rsidRPr="004C67C8" w:rsidRDefault="00801B41" w:rsidP="004C67C8">
      <w:pPr>
        <w:spacing w:after="200"/>
        <w:contextualSpacing/>
        <w:jc w:val="both"/>
        <w:rPr>
          <w:rFonts w:ascii="Arial Narrow" w:hAnsi="Arial Narrow"/>
        </w:rPr>
      </w:pPr>
    </w:p>
    <w:p w:rsidR="00CC7871" w:rsidRDefault="00CC7871" w:rsidP="00B35EFC">
      <w:pPr>
        <w:pStyle w:val="aa"/>
        <w:spacing w:after="200"/>
        <w:ind w:left="2520" w:firstLine="360"/>
        <w:contextualSpacing/>
        <w:jc w:val="both"/>
        <w:rPr>
          <w:highlight w:val="yellow"/>
        </w:rPr>
      </w:pPr>
      <w:r w:rsidRPr="00E347CD">
        <w:rPr>
          <w:rFonts w:asciiTheme="minorHAnsi" w:hAnsiTheme="minorHAnsi"/>
          <w:b/>
          <w:sz w:val="20"/>
          <w:szCs w:val="20"/>
          <w:u w:val="single"/>
        </w:rPr>
        <w:lastRenderedPageBreak/>
        <w:t xml:space="preserve">ΓΡΑΦΗΜΑ </w:t>
      </w:r>
      <w:r>
        <w:rPr>
          <w:rFonts w:asciiTheme="minorHAnsi" w:hAnsiTheme="minorHAnsi"/>
          <w:b/>
          <w:sz w:val="20"/>
          <w:szCs w:val="20"/>
          <w:u w:val="single"/>
        </w:rPr>
        <w:t>10</w:t>
      </w:r>
    </w:p>
    <w:p w:rsidR="00CC7871" w:rsidRPr="00CC7871" w:rsidRDefault="00CC7871" w:rsidP="00B35EFC">
      <w:pPr>
        <w:spacing w:after="200"/>
        <w:ind w:left="720" w:firstLine="720"/>
        <w:contextualSpacing/>
        <w:rPr>
          <w:rFonts w:asciiTheme="minorHAnsi" w:hAnsiTheme="minorHAnsi"/>
          <w:b/>
          <w:sz w:val="16"/>
          <w:szCs w:val="16"/>
        </w:rPr>
      </w:pPr>
      <w:r w:rsidRPr="00CC7871">
        <w:rPr>
          <w:rFonts w:asciiTheme="minorHAnsi" w:hAnsiTheme="minorHAnsi"/>
          <w:b/>
          <w:sz w:val="16"/>
          <w:szCs w:val="16"/>
        </w:rPr>
        <w:t>Αναλογία πλήρους / ελαστικών μορφών απασχόλησης</w:t>
      </w:r>
    </w:p>
    <w:p w:rsidR="00C07E97" w:rsidRDefault="00C07E97" w:rsidP="00B35EFC">
      <w:pPr>
        <w:jc w:val="both"/>
        <w:rPr>
          <w:highlight w:val="yellow"/>
        </w:rPr>
      </w:pPr>
      <w:r>
        <w:rPr>
          <w:noProof/>
        </w:rPr>
        <w:drawing>
          <wp:inline distT="0" distB="0" distL="0" distR="0" wp14:anchorId="4C7A0768" wp14:editId="007B0617">
            <wp:extent cx="4572000" cy="2293620"/>
            <wp:effectExtent l="0" t="0" r="19050" b="1143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7871" w:rsidRDefault="00CC7871" w:rsidP="00B35EFC">
      <w:pPr>
        <w:jc w:val="both"/>
        <w:rPr>
          <w:rFonts w:asciiTheme="minorHAnsi" w:hAnsiTheme="minorHAnsi"/>
          <w:b/>
          <w:sz w:val="16"/>
          <w:szCs w:val="16"/>
        </w:rPr>
      </w:pPr>
      <w:r w:rsidRPr="00CC7871">
        <w:rPr>
          <w:rFonts w:asciiTheme="minorHAnsi" w:hAnsiTheme="minorHAnsi"/>
          <w:b/>
          <w:sz w:val="16"/>
          <w:szCs w:val="16"/>
        </w:rPr>
        <w:t>Πηγή: Εργάνη – Επεξεργασία ΙΜΕ ΓΣΕΒΕΕ</w:t>
      </w:r>
    </w:p>
    <w:p w:rsidR="00CC7871" w:rsidRDefault="00CC7871" w:rsidP="00B35EFC">
      <w:pPr>
        <w:jc w:val="both"/>
        <w:rPr>
          <w:rFonts w:asciiTheme="minorHAnsi" w:hAnsiTheme="minorHAnsi"/>
          <w:b/>
          <w:sz w:val="16"/>
          <w:szCs w:val="16"/>
        </w:rPr>
      </w:pPr>
    </w:p>
    <w:p w:rsidR="00B35EFC" w:rsidRDefault="00B35EFC" w:rsidP="00B35EFC">
      <w:pPr>
        <w:jc w:val="both"/>
        <w:rPr>
          <w:rFonts w:asciiTheme="minorHAnsi" w:hAnsiTheme="minorHAnsi"/>
          <w:b/>
          <w:sz w:val="16"/>
          <w:szCs w:val="16"/>
        </w:rPr>
      </w:pPr>
    </w:p>
    <w:p w:rsidR="00661AC2" w:rsidRPr="00A323FD" w:rsidRDefault="00661AC2" w:rsidP="00A323FD">
      <w:pPr>
        <w:spacing w:after="200"/>
        <w:contextualSpacing/>
        <w:jc w:val="both"/>
        <w:rPr>
          <w:highlight w:val="yellow"/>
        </w:rPr>
      </w:pPr>
      <w:r w:rsidRPr="00A323FD">
        <w:rPr>
          <w:rFonts w:asciiTheme="minorHAnsi" w:hAnsiTheme="minorHAnsi"/>
          <w:b/>
          <w:sz w:val="20"/>
          <w:szCs w:val="20"/>
          <w:u w:val="single"/>
        </w:rPr>
        <w:t>ΓΡΑΦΗΜΑ 11</w:t>
      </w:r>
      <w:r w:rsidR="00A323FD" w:rsidRPr="00A323FD">
        <w:rPr>
          <w:rFonts w:asciiTheme="minorHAnsi" w:hAnsiTheme="minorHAnsi"/>
          <w:b/>
          <w:sz w:val="20"/>
          <w:szCs w:val="20"/>
          <w:u w:val="single"/>
        </w:rPr>
        <w:t>- ΛΟΓΟΣ ΑΠΟΛΥΣΕΩΝ/ ΠΡΟΣΛΗΨΕΩΝ</w:t>
      </w:r>
      <w:r w:rsidR="00A323FD">
        <w:rPr>
          <w:rFonts w:asciiTheme="minorHAnsi" w:hAnsiTheme="minorHAnsi"/>
          <w:b/>
          <w:sz w:val="20"/>
          <w:szCs w:val="20"/>
          <w:u w:val="single"/>
        </w:rPr>
        <w:t xml:space="preserve"> 2010-2017</w:t>
      </w:r>
    </w:p>
    <w:p w:rsidR="00C07E97" w:rsidRDefault="00C07E97" w:rsidP="00B35EFC">
      <w:pPr>
        <w:jc w:val="both"/>
      </w:pPr>
      <w:r>
        <w:rPr>
          <w:noProof/>
        </w:rPr>
        <w:drawing>
          <wp:inline distT="0" distB="0" distL="0" distR="0" wp14:anchorId="0AA543A6" wp14:editId="0120FFFE">
            <wp:extent cx="5274310" cy="2750699"/>
            <wp:effectExtent l="0" t="0" r="21590" b="12065"/>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07E97" w:rsidRPr="00160C70" w:rsidRDefault="005D6E55" w:rsidP="00B35EFC">
      <w:pPr>
        <w:jc w:val="both"/>
        <w:rPr>
          <w:rFonts w:ascii="Calibri" w:hAnsi="Calibri"/>
          <w:b/>
          <w:sz w:val="16"/>
          <w:szCs w:val="16"/>
        </w:rPr>
      </w:pPr>
      <w:r w:rsidRPr="00160C70">
        <w:rPr>
          <w:rFonts w:ascii="Calibri" w:hAnsi="Calibri"/>
          <w:b/>
          <w:sz w:val="16"/>
          <w:szCs w:val="16"/>
        </w:rPr>
        <w:t>Πηγή: Έρευνες κλίματος ΙΜΕ ΓΣΕΒΕΕ</w:t>
      </w:r>
    </w:p>
    <w:p w:rsidR="00160C70" w:rsidRDefault="00160C70" w:rsidP="00B35EFC">
      <w:pPr>
        <w:jc w:val="both"/>
        <w:rPr>
          <w:b/>
          <w:sz w:val="16"/>
          <w:szCs w:val="16"/>
        </w:rPr>
      </w:pPr>
    </w:p>
    <w:p w:rsidR="00B35EFC" w:rsidRPr="00661AC2" w:rsidRDefault="00B35EFC" w:rsidP="00B35EFC">
      <w:pPr>
        <w:jc w:val="both"/>
        <w:rPr>
          <w:b/>
          <w:sz w:val="16"/>
          <w:szCs w:val="16"/>
        </w:rPr>
      </w:pPr>
    </w:p>
    <w:p w:rsidR="00B35EFC" w:rsidRPr="004C67C8" w:rsidRDefault="004C67C8" w:rsidP="00B35EFC">
      <w:pPr>
        <w:pStyle w:val="aa"/>
        <w:numPr>
          <w:ilvl w:val="0"/>
          <w:numId w:val="42"/>
        </w:numPr>
        <w:spacing w:after="200"/>
        <w:contextualSpacing/>
        <w:jc w:val="both"/>
        <w:rPr>
          <w:rFonts w:ascii="Arial Narrow" w:hAnsi="Arial Narrow"/>
        </w:rPr>
      </w:pPr>
      <w:r w:rsidRPr="004C67C8">
        <w:rPr>
          <w:rFonts w:ascii="Arial Narrow" w:hAnsi="Arial Narrow"/>
        </w:rPr>
        <w:t>Οι μελλοντικές ροές απασχόλησης δεν προβλέπεται να ενισχυθούν, καθώς η προβολή στην αναλογία προσλήψεων-απολύσεων  είναι 1 προς 1,45. Ωστόσο είναι καλύτερη σε σχέση τόσο με το προηγούμενο εξάμηνο όσο και με το προηγούμενο έτος. Σύμφωνα με τις εκτιμήσεις του ΙΜΕ ΓΣΕ</w:t>
      </w:r>
      <w:r w:rsidR="00E90781">
        <w:rPr>
          <w:rFonts w:ascii="Arial Narrow" w:hAnsi="Arial Narrow"/>
        </w:rPr>
        <w:t xml:space="preserve">ΒΕΕ υπάρχει κίνδυνος </w:t>
      </w:r>
      <w:r w:rsidR="00E90781" w:rsidRPr="00E90781">
        <w:rPr>
          <w:rFonts w:ascii="Arial Narrow" w:hAnsi="Arial Narrow"/>
          <w:b/>
        </w:rPr>
        <w:t>απώλειας 2,</w:t>
      </w:r>
      <w:r w:rsidRPr="00E90781">
        <w:rPr>
          <w:rFonts w:ascii="Arial Narrow" w:hAnsi="Arial Narrow"/>
          <w:b/>
        </w:rPr>
        <w:t>000 επιπλέον θέσεων μισθωτής απασχόλησης</w:t>
      </w:r>
      <w:r w:rsidR="00F9384D">
        <w:rPr>
          <w:rFonts w:ascii="Arial Narrow" w:hAnsi="Arial Narrow"/>
          <w:b/>
        </w:rPr>
        <w:t xml:space="preserve"> στις μικρές επιχειρήσεις</w:t>
      </w:r>
      <w:r w:rsidRPr="004C67C8">
        <w:rPr>
          <w:rFonts w:ascii="Arial Narrow" w:hAnsi="Arial Narrow"/>
        </w:rPr>
        <w:t xml:space="preserve">, χωρίς να υπολογίζονται οι απώλειες από τα πιθανά λουκέτα που θα προκύψουν στο επόμενο εξάμηνο. Συνολικά, αναμένεται να απολεσθούν </w:t>
      </w:r>
      <w:r w:rsidR="00F9384D">
        <w:rPr>
          <w:rFonts w:ascii="Arial Narrow" w:hAnsi="Arial Narrow"/>
        </w:rPr>
        <w:t xml:space="preserve">36,000 </w:t>
      </w:r>
      <w:r w:rsidRPr="004C67C8">
        <w:rPr>
          <w:rFonts w:ascii="Arial Narrow" w:hAnsi="Arial Narrow"/>
        </w:rPr>
        <w:t>θέσεις απασχόλησης στις μικρές επιχειρήσεις, αν συμπεριλάβουμε και τις απώλειες που θα προκύψουν από εκείνους που θα αναστείλουν την επιχειρηματική δραστηριότητα (εργοδότες, αυτοαπασχολούμενοι).</w:t>
      </w:r>
    </w:p>
    <w:p w:rsidR="00B35EFC" w:rsidRPr="00B35EFC" w:rsidRDefault="00B35EFC" w:rsidP="00B35EFC">
      <w:pPr>
        <w:spacing w:after="200"/>
        <w:contextualSpacing/>
        <w:jc w:val="both"/>
        <w:rPr>
          <w:rFonts w:ascii="Arial Narrow" w:hAnsi="Arial Narrow"/>
        </w:rPr>
      </w:pPr>
    </w:p>
    <w:tbl>
      <w:tblPr>
        <w:tblStyle w:val="a6"/>
        <w:tblW w:w="0" w:type="auto"/>
        <w:tblInd w:w="108" w:type="dxa"/>
        <w:tblLook w:val="04A0" w:firstRow="1" w:lastRow="0" w:firstColumn="1" w:lastColumn="0" w:noHBand="0" w:noVBand="1"/>
      </w:tblPr>
      <w:tblGrid>
        <w:gridCol w:w="4253"/>
        <w:gridCol w:w="5386"/>
      </w:tblGrid>
      <w:tr w:rsidR="00DD4165" w:rsidTr="00DD4165">
        <w:tc>
          <w:tcPr>
            <w:tcW w:w="4253" w:type="dxa"/>
          </w:tcPr>
          <w:p w:rsidR="00DD4165" w:rsidRPr="00DD4165" w:rsidRDefault="00922AB5" w:rsidP="00B35EFC">
            <w:pPr>
              <w:spacing w:after="200"/>
              <w:contextualSpacing/>
              <w:jc w:val="center"/>
              <w:rPr>
                <w:rFonts w:asciiTheme="minorHAnsi" w:hAnsiTheme="minorHAnsi"/>
                <w:b/>
                <w:sz w:val="16"/>
                <w:szCs w:val="16"/>
                <w:u w:val="single"/>
              </w:rPr>
            </w:pPr>
            <w:r>
              <w:rPr>
                <w:rFonts w:asciiTheme="minorHAnsi" w:hAnsiTheme="minorHAnsi"/>
                <w:b/>
                <w:sz w:val="16"/>
                <w:szCs w:val="16"/>
                <w:u w:val="single"/>
              </w:rPr>
              <w:t>ΓΡΑΦΗΜΑ 12</w:t>
            </w:r>
          </w:p>
          <w:p w:rsidR="00DD4165" w:rsidRPr="00DD4165" w:rsidRDefault="00DD4165" w:rsidP="00B35EFC">
            <w:pPr>
              <w:spacing w:after="200"/>
              <w:contextualSpacing/>
              <w:jc w:val="center"/>
              <w:rPr>
                <w:rFonts w:asciiTheme="minorHAnsi" w:hAnsiTheme="minorHAnsi"/>
                <w:b/>
                <w:sz w:val="16"/>
                <w:szCs w:val="16"/>
              </w:rPr>
            </w:pPr>
            <w:r w:rsidRPr="00DD4165">
              <w:rPr>
                <w:rFonts w:asciiTheme="minorHAnsi" w:hAnsiTheme="minorHAnsi"/>
                <w:b/>
                <w:sz w:val="16"/>
                <w:szCs w:val="16"/>
              </w:rPr>
              <w:t>Το προσωπικό της επιχείρησ</w:t>
            </w:r>
            <w:r>
              <w:rPr>
                <w:rFonts w:asciiTheme="minorHAnsi" w:hAnsiTheme="minorHAnsi"/>
                <w:b/>
                <w:sz w:val="16"/>
                <w:szCs w:val="16"/>
              </w:rPr>
              <w:t xml:space="preserve">ής σας τους τελευταίους 6 μήνες </w:t>
            </w:r>
            <w:r w:rsidRPr="00DD4165">
              <w:rPr>
                <w:rFonts w:asciiTheme="minorHAnsi" w:hAnsiTheme="minorHAnsi"/>
                <w:b/>
                <w:sz w:val="16"/>
                <w:szCs w:val="16"/>
              </w:rPr>
              <w:t>αυξήθηκε, μειώθηκε ή παρέμεινε σταθερό; (Αφορά το διάστημα Ιούλιος - Δεκέμβριος 2016)</w:t>
            </w:r>
          </w:p>
        </w:tc>
        <w:tc>
          <w:tcPr>
            <w:tcW w:w="5386" w:type="dxa"/>
          </w:tcPr>
          <w:p w:rsidR="00DD4165" w:rsidRDefault="00DD4165" w:rsidP="00B35EFC">
            <w:pPr>
              <w:spacing w:after="200"/>
              <w:contextualSpacing/>
              <w:jc w:val="center"/>
              <w:rPr>
                <w:rFonts w:asciiTheme="minorHAnsi" w:hAnsiTheme="minorHAnsi"/>
                <w:b/>
                <w:sz w:val="16"/>
                <w:szCs w:val="16"/>
                <w:u w:val="single"/>
              </w:rPr>
            </w:pPr>
          </w:p>
          <w:p w:rsidR="00DD4165" w:rsidRDefault="00DD4165" w:rsidP="00B35EFC">
            <w:pPr>
              <w:spacing w:after="200"/>
              <w:contextualSpacing/>
              <w:jc w:val="center"/>
              <w:rPr>
                <w:rFonts w:asciiTheme="minorHAnsi" w:hAnsiTheme="minorHAnsi"/>
                <w:b/>
                <w:sz w:val="16"/>
                <w:szCs w:val="16"/>
                <w:u w:val="single"/>
              </w:rPr>
            </w:pPr>
          </w:p>
          <w:p w:rsidR="00DD4165" w:rsidRDefault="00922AB5" w:rsidP="00B35EFC">
            <w:pPr>
              <w:spacing w:after="200"/>
              <w:contextualSpacing/>
              <w:jc w:val="center"/>
              <w:rPr>
                <w:rFonts w:asciiTheme="minorHAnsi" w:hAnsiTheme="minorHAnsi"/>
                <w:b/>
                <w:sz w:val="16"/>
                <w:szCs w:val="16"/>
                <w:u w:val="single"/>
              </w:rPr>
            </w:pPr>
            <w:r>
              <w:rPr>
                <w:rFonts w:asciiTheme="minorHAnsi" w:hAnsiTheme="minorHAnsi"/>
                <w:b/>
                <w:sz w:val="16"/>
                <w:szCs w:val="16"/>
                <w:u w:val="single"/>
              </w:rPr>
              <w:t>ΓΡΑΦΗΜΑ 13</w:t>
            </w:r>
          </w:p>
          <w:p w:rsidR="00DD4165" w:rsidRPr="00DD4165" w:rsidRDefault="00DD4165" w:rsidP="00B35EFC">
            <w:pPr>
              <w:spacing w:after="200"/>
              <w:contextualSpacing/>
              <w:jc w:val="center"/>
              <w:rPr>
                <w:rFonts w:asciiTheme="minorHAnsi" w:hAnsiTheme="minorHAnsi"/>
                <w:b/>
                <w:sz w:val="16"/>
                <w:szCs w:val="16"/>
                <w:u w:val="single"/>
              </w:rPr>
            </w:pPr>
          </w:p>
        </w:tc>
      </w:tr>
    </w:tbl>
    <w:p w:rsidR="00661AC2" w:rsidRDefault="00661AC2" w:rsidP="00B35EFC">
      <w:pPr>
        <w:jc w:val="both"/>
      </w:pPr>
      <w:r w:rsidRPr="00661AC2">
        <w:rPr>
          <w:noProof/>
          <w:highlight w:val="yellow"/>
        </w:rPr>
        <w:lastRenderedPageBreak/>
        <w:drawing>
          <wp:inline distT="0" distB="0" distL="0" distR="0" wp14:anchorId="30BBFEFA" wp14:editId="37317FCF">
            <wp:extent cx="2667000" cy="2499360"/>
            <wp:effectExtent l="0" t="0" r="19050" b="15240"/>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07E97" w:rsidRPr="00F93D4B">
        <w:rPr>
          <w:noProof/>
          <w:sz w:val="20"/>
          <w:szCs w:val="20"/>
        </w:rPr>
        <w:drawing>
          <wp:inline distT="0" distB="0" distL="0" distR="0" wp14:anchorId="0100EA84" wp14:editId="1B3173EA">
            <wp:extent cx="3467100" cy="2491740"/>
            <wp:effectExtent l="0" t="0" r="19050" b="22860"/>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1AC2" w:rsidRPr="00922AB5" w:rsidRDefault="00DD4165" w:rsidP="00B35EFC">
      <w:pPr>
        <w:jc w:val="both"/>
        <w:rPr>
          <w:rFonts w:asciiTheme="minorHAnsi" w:hAnsiTheme="minorHAnsi"/>
          <w:b/>
          <w:sz w:val="16"/>
          <w:szCs w:val="16"/>
        </w:rPr>
      </w:pPr>
      <w:r w:rsidRPr="00922AB5">
        <w:rPr>
          <w:rFonts w:asciiTheme="minorHAnsi" w:hAnsiTheme="minorHAnsi"/>
          <w:b/>
          <w:sz w:val="16"/>
          <w:szCs w:val="16"/>
        </w:rPr>
        <w:t xml:space="preserve">Έρευνα Κλίματος ΙΜΕ ΓΣΕΒΕΕ </w:t>
      </w:r>
      <w:r w:rsidRPr="00922AB5">
        <w:rPr>
          <w:rFonts w:asciiTheme="minorHAnsi" w:hAnsiTheme="minorHAnsi"/>
          <w:b/>
          <w:sz w:val="16"/>
          <w:szCs w:val="16"/>
        </w:rPr>
        <w:tab/>
      </w:r>
      <w:r w:rsidRPr="00922AB5">
        <w:rPr>
          <w:rFonts w:asciiTheme="minorHAnsi" w:hAnsiTheme="minorHAnsi"/>
          <w:b/>
          <w:sz w:val="16"/>
          <w:szCs w:val="16"/>
        </w:rPr>
        <w:tab/>
      </w:r>
      <w:r w:rsidRPr="00922AB5">
        <w:rPr>
          <w:rFonts w:asciiTheme="minorHAnsi" w:hAnsiTheme="minorHAnsi"/>
          <w:b/>
          <w:sz w:val="16"/>
          <w:szCs w:val="16"/>
        </w:rPr>
        <w:tab/>
      </w:r>
      <w:r w:rsidR="00922AB5">
        <w:rPr>
          <w:rFonts w:asciiTheme="minorHAnsi" w:hAnsiTheme="minorHAnsi"/>
          <w:b/>
          <w:sz w:val="16"/>
          <w:szCs w:val="16"/>
        </w:rPr>
        <w:tab/>
      </w:r>
      <w:r w:rsidR="005D6E55" w:rsidRPr="00922AB5">
        <w:rPr>
          <w:rFonts w:asciiTheme="minorHAnsi" w:hAnsiTheme="minorHAnsi"/>
          <w:b/>
          <w:sz w:val="16"/>
          <w:szCs w:val="16"/>
        </w:rPr>
        <w:t>Πηγή: Εργάνη – Επεξεργασία ΙΜΕ ΓΣΕΒΕΕ</w:t>
      </w:r>
    </w:p>
    <w:p w:rsidR="004C67C8" w:rsidRPr="001D38C8" w:rsidRDefault="001D38C8" w:rsidP="001D38C8">
      <w:pPr>
        <w:rPr>
          <w:b/>
          <w:sz w:val="16"/>
          <w:szCs w:val="16"/>
        </w:rPr>
      </w:pPr>
      <w:r>
        <w:rPr>
          <w:b/>
          <w:sz w:val="16"/>
          <w:szCs w:val="16"/>
        </w:rPr>
        <w:br w:type="page"/>
      </w:r>
    </w:p>
    <w:p w:rsidR="00BE275B" w:rsidRPr="0064755D" w:rsidRDefault="00AA4058" w:rsidP="0064755D">
      <w:pPr>
        <w:pStyle w:val="aa"/>
        <w:numPr>
          <w:ilvl w:val="0"/>
          <w:numId w:val="1"/>
        </w:numPr>
        <w:tabs>
          <w:tab w:val="clear" w:pos="1080"/>
          <w:tab w:val="num" w:pos="426"/>
        </w:tabs>
        <w:ind w:hanging="1080"/>
        <w:jc w:val="both"/>
        <w:rPr>
          <w:rFonts w:ascii="Arial Narrow" w:hAnsi="Arial Narrow"/>
        </w:rPr>
      </w:pPr>
      <w:r>
        <w:rPr>
          <w:rFonts w:ascii="Arial Narrow" w:hAnsi="Arial Narrow"/>
          <w:b/>
          <w:u w:val="single"/>
        </w:rPr>
        <w:lastRenderedPageBreak/>
        <w:t>ΥΠΟΧΡΕΩΣΕΙΣ ΚΑΙ ΟΦΕΙΛΕΣ</w:t>
      </w:r>
      <w:r w:rsidR="00BE275B" w:rsidRPr="0064755D">
        <w:rPr>
          <w:rFonts w:ascii="Arial Narrow" w:hAnsi="Arial Narrow"/>
          <w:b/>
          <w:u w:val="single"/>
        </w:rPr>
        <w:t xml:space="preserve"> </w:t>
      </w:r>
      <w:r w:rsidR="00B640C8" w:rsidRPr="0064755D">
        <w:rPr>
          <w:rFonts w:ascii="Arial Narrow" w:hAnsi="Arial Narrow"/>
          <w:b/>
          <w:u w:val="single"/>
        </w:rPr>
        <w:t>ΕΠΙΧΕΙΡΗΣΕΩΝ</w:t>
      </w:r>
    </w:p>
    <w:p w:rsidR="00AD6FB9" w:rsidRPr="00AD6FB9" w:rsidRDefault="00AD6FB9" w:rsidP="00AD6FB9">
      <w:pPr>
        <w:jc w:val="both"/>
        <w:rPr>
          <w:rFonts w:ascii="Arial Narrow" w:hAnsi="Arial Narrow"/>
          <w:highlight w:val="yellow"/>
        </w:rPr>
      </w:pPr>
    </w:p>
    <w:p w:rsidR="00AD6FB9" w:rsidRDefault="00AD6FB9" w:rsidP="00AD6FB9">
      <w:pPr>
        <w:pStyle w:val="aa"/>
        <w:numPr>
          <w:ilvl w:val="0"/>
          <w:numId w:val="13"/>
        </w:numPr>
        <w:jc w:val="both"/>
        <w:rPr>
          <w:rFonts w:ascii="Arial Narrow" w:hAnsi="Arial Narrow"/>
        </w:rPr>
      </w:pPr>
      <w:r w:rsidRPr="00AD6FB9">
        <w:rPr>
          <w:rFonts w:ascii="Arial Narrow" w:hAnsi="Arial Narrow"/>
        </w:rPr>
        <w:t>Το υψηλότερο ποσοστό των επιχειρήσεων με καθυστερημένες οφειλές αφορά εκείνες με χρέη προς το πρώην ασφαλιστικό ταμείο των επαγγελματιών (ΟΑΕΕ, 26,7%). Το ποσοστό αυτό, αν και μειούμενο (28,3% στην προηγούμενη έρευνα Ιουλίου 2016) αφορά περίπ</w:t>
      </w:r>
      <w:r w:rsidR="00163287">
        <w:rPr>
          <w:rFonts w:ascii="Arial Narrow" w:hAnsi="Arial Narrow"/>
        </w:rPr>
        <w:t>ου 300,000 ενεργές επιχειρήσεις.</w:t>
      </w:r>
      <w:r w:rsidRPr="00AD6FB9">
        <w:rPr>
          <w:rFonts w:ascii="Arial Narrow" w:hAnsi="Arial Narrow"/>
        </w:rPr>
        <w:t xml:space="preserve"> </w:t>
      </w:r>
    </w:p>
    <w:p w:rsidR="00C44C68" w:rsidRDefault="00D12303" w:rsidP="00C44C68">
      <w:pPr>
        <w:pStyle w:val="aa"/>
        <w:numPr>
          <w:ilvl w:val="0"/>
          <w:numId w:val="13"/>
        </w:numPr>
        <w:jc w:val="both"/>
        <w:rPr>
          <w:rFonts w:ascii="Arial Narrow" w:hAnsi="Arial Narrow"/>
        </w:rPr>
      </w:pPr>
      <w:r w:rsidRPr="00D12303">
        <w:rPr>
          <w:rFonts w:ascii="Arial Narrow" w:hAnsi="Arial Narrow"/>
        </w:rPr>
        <w:t>Ανησυχητικά είναι τα ευρήματα σχετικά με τις οφειλές των επιχειρήσεων προς τις φορολογικές αρχές</w:t>
      </w:r>
      <w:r w:rsidRPr="00D12303">
        <w:rPr>
          <w:rFonts w:ascii="Arial Narrow" w:hAnsi="Arial Narrow"/>
          <w:b/>
        </w:rPr>
        <w:t>. Για πρώτη φορά μετά από διάστημα 4 εξαμήνων</w:t>
      </w:r>
      <w:r w:rsidRPr="00D12303">
        <w:rPr>
          <w:rFonts w:ascii="Arial Narrow" w:hAnsi="Arial Narrow"/>
        </w:rPr>
        <w:t xml:space="preserve">, </w:t>
      </w:r>
      <w:r w:rsidRPr="00D12303">
        <w:rPr>
          <w:rFonts w:ascii="Arial Narrow" w:hAnsi="Arial Narrow"/>
          <w:b/>
        </w:rPr>
        <w:t>ο αριθμός των επιχειρήσεων που δηλώνει ότι έχει ληξιπρόθεσμες οφειλές προς την εφορία αυξάνει, από 21,9% σε 23,8%</w:t>
      </w:r>
      <w:r w:rsidRPr="00D12303">
        <w:rPr>
          <w:rFonts w:ascii="Arial Narrow" w:hAnsi="Arial Narrow"/>
        </w:rPr>
        <w:t xml:space="preserve"> (</w:t>
      </w:r>
      <w:r w:rsidR="00C44C68">
        <w:rPr>
          <w:rFonts w:ascii="Arial Narrow" w:hAnsi="Arial Narrow"/>
        </w:rPr>
        <w:t>συγκεντρωτικό γράφημα 15</w:t>
      </w:r>
      <w:r>
        <w:rPr>
          <w:rFonts w:ascii="Arial Narrow" w:hAnsi="Arial Narrow"/>
        </w:rPr>
        <w:t xml:space="preserve">, </w:t>
      </w:r>
      <w:r w:rsidRPr="00D12303">
        <w:rPr>
          <w:rFonts w:ascii="Arial Narrow" w:hAnsi="Arial Narrow"/>
        </w:rPr>
        <w:t>ρυθμός αύξησης 10% περίπου!!!). Το στοιχείο αυτό συμβαδίζει με το ύψος των ληξιπρόθεσμων οφειλών του Φεβρουαρίου του 2017, οι οποίες ανήλθαν στα 1,63 δις ευρώ.</w:t>
      </w:r>
      <w:r w:rsidR="00C44C68">
        <w:rPr>
          <w:rFonts w:ascii="Arial Narrow" w:hAnsi="Arial Narrow"/>
        </w:rPr>
        <w:t xml:space="preserve"> </w:t>
      </w:r>
      <w:r w:rsidRPr="00C44C68">
        <w:rPr>
          <w:rFonts w:ascii="Arial Narrow" w:hAnsi="Arial Narrow"/>
        </w:rPr>
        <w:t xml:space="preserve">Εκτιμάται ότι το φαινόμενο αυτό επιτείνεται λόγω της σταδιακής </w:t>
      </w:r>
      <w:proofErr w:type="spellStart"/>
      <w:r w:rsidRPr="00C44C68">
        <w:rPr>
          <w:rFonts w:ascii="Arial Narrow" w:hAnsi="Arial Narrow"/>
        </w:rPr>
        <w:t>απένταξης</w:t>
      </w:r>
      <w:proofErr w:type="spellEnd"/>
      <w:r w:rsidRPr="00C44C68">
        <w:rPr>
          <w:rFonts w:ascii="Arial Narrow" w:hAnsi="Arial Narrow"/>
        </w:rPr>
        <w:t xml:space="preserve"> από τις ρυθμίσεις των δόσεων (προς εφορίες, ασφαλιστικά ταμεία), επιχειρηματιών που δεν κατάφεραν να ανταποκριθούν στην έγκαιρη καταβολή τους, εξ αιτίας των νεότερων τρεχουσών επιβαρύνσεων. Είναι ενδεικτικό  ότι περίπου 67,000 μικρές επιχειρήσεις δηλώνουν ότι έχουν βρεθεί αντιμέτωπες το προηγούμενο εξάμηνο με κατάσχεση/ ή δέσμευση λογαριασμών για οφειλές. 1 στις 3 επιχειρήσεις εκτιμά ότι δεν θα μπορέσει να ανταποκριθεί στις φορολογικές υ</w:t>
      </w:r>
      <w:r w:rsidR="00C44C68">
        <w:rPr>
          <w:rFonts w:ascii="Arial Narrow" w:hAnsi="Arial Narrow"/>
        </w:rPr>
        <w:t>ποχρεώσεις του έτους (γράφημα 14</w:t>
      </w:r>
      <w:r w:rsidRPr="00C44C68">
        <w:rPr>
          <w:rFonts w:ascii="Arial Narrow" w:hAnsi="Arial Narrow"/>
        </w:rPr>
        <w:t>).</w:t>
      </w:r>
    </w:p>
    <w:p w:rsidR="00C44C68" w:rsidRPr="00C44C68" w:rsidRDefault="00C44C68" w:rsidP="00C44C68">
      <w:pPr>
        <w:pStyle w:val="aa"/>
        <w:ind w:left="360"/>
        <w:jc w:val="both"/>
        <w:rPr>
          <w:rFonts w:ascii="Arial Narrow" w:hAnsi="Arial Narrow"/>
        </w:rPr>
      </w:pPr>
    </w:p>
    <w:p w:rsidR="00C44C68" w:rsidRPr="00E347CD" w:rsidRDefault="00C44C68" w:rsidP="00C44C68">
      <w:pPr>
        <w:jc w:val="both"/>
        <w:rPr>
          <w:rFonts w:asciiTheme="minorHAnsi" w:hAnsiTheme="minorHAnsi"/>
          <w:b/>
          <w:bCs/>
          <w:sz w:val="20"/>
          <w:szCs w:val="20"/>
          <w:u w:val="single"/>
        </w:rPr>
      </w:pPr>
      <w:r>
        <w:rPr>
          <w:rFonts w:asciiTheme="minorHAnsi" w:hAnsiTheme="minorHAnsi"/>
          <w:b/>
          <w:bCs/>
          <w:sz w:val="20"/>
          <w:szCs w:val="20"/>
          <w:u w:val="single"/>
        </w:rPr>
        <w:t>ΓΡΑΦΗΜΑ 14</w:t>
      </w:r>
      <w:r w:rsidRPr="00E347CD">
        <w:rPr>
          <w:rFonts w:asciiTheme="minorHAnsi" w:hAnsiTheme="minorHAnsi"/>
          <w:b/>
          <w:bCs/>
          <w:sz w:val="20"/>
          <w:szCs w:val="20"/>
          <w:u w:val="single"/>
        </w:rPr>
        <w:t>- ΔΕΣΜΕΥΣΗ ΛΟΓΑΡΙΑΣΜΩΝ</w:t>
      </w:r>
      <w:r>
        <w:rPr>
          <w:rFonts w:asciiTheme="minorHAnsi" w:hAnsiTheme="minorHAnsi"/>
          <w:b/>
          <w:bCs/>
          <w:sz w:val="20"/>
          <w:szCs w:val="20"/>
          <w:u w:val="single"/>
        </w:rPr>
        <w:t>/ ΦΟΡΟΛΟΓΙΚΕΣ ΥΠΟΧΡΕΩΣΕΙΣ</w:t>
      </w:r>
    </w:p>
    <w:p w:rsidR="00C44C68" w:rsidRDefault="00C44C68" w:rsidP="00C44C68">
      <w:pPr>
        <w:jc w:val="both"/>
        <w:rPr>
          <w:rFonts w:asciiTheme="minorHAnsi" w:hAnsiTheme="minorHAnsi"/>
          <w:b/>
          <w:bCs/>
          <w:sz w:val="20"/>
          <w:szCs w:val="20"/>
        </w:rPr>
      </w:pPr>
      <w:r w:rsidRPr="007F69EE">
        <w:rPr>
          <w:rFonts w:asciiTheme="minorHAnsi" w:hAnsiTheme="minorHAnsi"/>
          <w:b/>
          <w:bCs/>
          <w:noProof/>
          <w:sz w:val="20"/>
          <w:szCs w:val="20"/>
        </w:rPr>
        <mc:AlternateContent>
          <mc:Choice Requires="wps">
            <w:drawing>
              <wp:anchor distT="0" distB="0" distL="114300" distR="114300" simplePos="0" relativeHeight="251745792" behindDoc="0" locked="0" layoutInCell="1" allowOverlap="1" wp14:anchorId="140FE70F" wp14:editId="411FEA83">
                <wp:simplePos x="0" y="0"/>
                <wp:positionH relativeFrom="column">
                  <wp:posOffset>0</wp:posOffset>
                </wp:positionH>
                <wp:positionV relativeFrom="paragraph">
                  <wp:posOffset>83820</wp:posOffset>
                </wp:positionV>
                <wp:extent cx="3143250" cy="609600"/>
                <wp:effectExtent l="0" t="0" r="19050" b="1905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09600"/>
                        </a:xfrm>
                        <a:prstGeom prst="rect">
                          <a:avLst/>
                        </a:prstGeom>
                        <a:solidFill>
                          <a:srgbClr val="FFFFFF"/>
                        </a:solidFill>
                        <a:ln w="9525">
                          <a:solidFill>
                            <a:srgbClr val="000000"/>
                          </a:solidFill>
                          <a:prstDash val="sysDash"/>
                          <a:miter lim="800000"/>
                          <a:headEnd/>
                          <a:tailEnd/>
                        </a:ln>
                      </wps:spPr>
                      <wps:txbx>
                        <w:txbxContent>
                          <w:p w:rsidR="00C44C68" w:rsidRPr="007F69EE" w:rsidRDefault="00C44C68" w:rsidP="00C44C68">
                            <w:pPr>
                              <w:jc w:val="both"/>
                              <w:rPr>
                                <w:rFonts w:asciiTheme="minorHAnsi" w:hAnsiTheme="minorHAnsi"/>
                                <w:b/>
                                <w:bCs/>
                                <w:sz w:val="20"/>
                                <w:szCs w:val="20"/>
                              </w:rPr>
                            </w:pPr>
                            <w:r w:rsidRPr="007F69EE">
                              <w:rPr>
                                <w:rFonts w:asciiTheme="minorHAnsi" w:hAnsiTheme="minorHAnsi"/>
                                <w:b/>
                                <w:bCs/>
                                <w:sz w:val="20"/>
                                <w:szCs w:val="20"/>
                              </w:rPr>
                              <w:t>Μήπως αντιμετωπίσατε κατάσχεση καταθέσεων ή δέσμευση λογαριασμών λόγω οφειλών το προηγούμενο εξάμηνο;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 o:spid="_x0000_s1028" type="#_x0000_t202" style="position:absolute;left:0;text-align:left;margin-left:0;margin-top:6.6pt;width:247.5pt;height:4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">
                <v:stroke dashstyle="3 1"/>
                <v:textbox>
                  <w:txbxContent>
                    <w:p w:rsidR="00C44C68" w:rsidRPr="007F69EE" w:rsidRDefault="00C44C68" w:rsidP="00C44C68">
                      <w:pPr>
                        <w:jc w:val="both"/>
                        <w:rPr>
                          <w:rFonts w:asciiTheme="minorHAnsi" w:hAnsiTheme="minorHAnsi"/>
                          <w:b/>
                          <w:bCs/>
                          <w:sz w:val="20"/>
                          <w:szCs w:val="20"/>
                        </w:rPr>
                      </w:pPr>
                      <w:r w:rsidRPr="007F69EE">
                        <w:rPr>
                          <w:rFonts w:asciiTheme="minorHAnsi" w:hAnsiTheme="minorHAnsi"/>
                          <w:b/>
                          <w:bCs/>
                          <w:sz w:val="20"/>
                          <w:szCs w:val="20"/>
                        </w:rPr>
                        <w:t>Μήπως αντιμετωπίσατε κατάσχεση καταθέσεων ή δέσμευση λογαριασμών λόγω οφειλών το προηγούμενο εξάμηνο;</w:t>
                      </w:r>
                    </w:p>
                  </w:txbxContent>
                </v:textbox>
              </v:shape>
            </w:pict>
          </mc:Fallback>
        </mc:AlternateContent>
      </w:r>
      <w:r w:rsidRPr="007F69EE">
        <w:rPr>
          <w:rFonts w:asciiTheme="minorHAnsi" w:hAnsiTheme="minorHAnsi"/>
          <w:b/>
          <w:bCs/>
          <w:noProof/>
          <w:sz w:val="20"/>
          <w:szCs w:val="20"/>
        </w:rPr>
        <mc:AlternateContent>
          <mc:Choice Requires="wps">
            <w:drawing>
              <wp:anchor distT="0" distB="0" distL="114300" distR="114300" simplePos="0" relativeHeight="251746816" behindDoc="0" locked="0" layoutInCell="1" allowOverlap="1" wp14:anchorId="0074890C" wp14:editId="11BA4297">
                <wp:simplePos x="0" y="0"/>
                <wp:positionH relativeFrom="column">
                  <wp:posOffset>3190240</wp:posOffset>
                </wp:positionH>
                <wp:positionV relativeFrom="paragraph">
                  <wp:posOffset>83820</wp:posOffset>
                </wp:positionV>
                <wp:extent cx="3228975" cy="609600"/>
                <wp:effectExtent l="0" t="0" r="28575" b="1905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09600"/>
                        </a:xfrm>
                        <a:prstGeom prst="rect">
                          <a:avLst/>
                        </a:prstGeom>
                        <a:solidFill>
                          <a:srgbClr val="FFFFFF"/>
                        </a:solidFill>
                        <a:ln w="9525">
                          <a:solidFill>
                            <a:srgbClr val="000000"/>
                          </a:solidFill>
                          <a:prstDash val="sysDash"/>
                          <a:miter lim="800000"/>
                          <a:headEnd/>
                          <a:tailEnd/>
                        </a:ln>
                      </wps:spPr>
                      <wps:txbx>
                        <w:txbxContent>
                          <w:p w:rsidR="00C44C68" w:rsidRPr="007F69EE" w:rsidRDefault="00C44C68" w:rsidP="00C44C68">
                            <w:pPr>
                              <w:jc w:val="both"/>
                              <w:rPr>
                                <w:rFonts w:asciiTheme="minorHAnsi" w:hAnsiTheme="minorHAnsi"/>
                                <w:b/>
                                <w:bCs/>
                                <w:sz w:val="20"/>
                                <w:szCs w:val="20"/>
                              </w:rPr>
                            </w:pPr>
                            <w:r w:rsidRPr="00194415">
                              <w:rPr>
                                <w:rFonts w:asciiTheme="minorHAnsi" w:hAnsiTheme="minorHAnsi"/>
                                <w:b/>
                                <w:bCs/>
                                <w:sz w:val="20"/>
                                <w:szCs w:val="20"/>
                              </w:rPr>
                              <w:t>Εκτιμάτε ότι το 2017 θα μπορέσετε να ανταποκριθείτε: στις φορολογικές σας υποχρεώσεις; (ΦΠΑ, ΦΜΥ κλπ)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1.2pt;margin-top:6.6pt;width:254.25pt;height:4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">
                <v:stroke dashstyle="3 1"/>
                <v:textbox>
                  <w:txbxContent>
                    <w:p w:rsidR="00C44C68" w:rsidRPr="007F69EE" w:rsidRDefault="00C44C68" w:rsidP="00C44C68">
                      <w:pPr>
                        <w:jc w:val="both"/>
                        <w:rPr>
                          <w:rFonts w:asciiTheme="minorHAnsi" w:hAnsiTheme="minorHAnsi"/>
                          <w:b/>
                          <w:bCs/>
                          <w:sz w:val="20"/>
                          <w:szCs w:val="20"/>
                        </w:rPr>
                      </w:pPr>
                      <w:r w:rsidRPr="00194415">
                        <w:rPr>
                          <w:rFonts w:asciiTheme="minorHAnsi" w:hAnsiTheme="minorHAnsi"/>
                          <w:b/>
                          <w:bCs/>
                          <w:sz w:val="20"/>
                          <w:szCs w:val="20"/>
                        </w:rPr>
                        <w:t>Εκτιμάτε ότι το 2017 θα μπορέσετε να ανταποκριθείτε: στις φορολογικές σας υποχρεώσεις; (ΦΠΑ, ΦΜΥ κλπ)</w:t>
                      </w:r>
                    </w:p>
                  </w:txbxContent>
                </v:textbox>
              </v:shape>
            </w:pict>
          </mc:Fallback>
        </mc:AlternateContent>
      </w:r>
    </w:p>
    <w:p w:rsidR="00C44C68" w:rsidRDefault="00C44C68" w:rsidP="00C44C68">
      <w:pPr>
        <w:jc w:val="both"/>
        <w:rPr>
          <w:rFonts w:asciiTheme="minorHAnsi" w:hAnsiTheme="minorHAnsi"/>
          <w:b/>
          <w:bCs/>
          <w:sz w:val="20"/>
          <w:szCs w:val="20"/>
        </w:rPr>
      </w:pPr>
    </w:p>
    <w:p w:rsidR="00C44C68" w:rsidRDefault="00C44C68" w:rsidP="00C44C68">
      <w:pPr>
        <w:jc w:val="both"/>
        <w:rPr>
          <w:rFonts w:asciiTheme="minorHAnsi" w:hAnsiTheme="minorHAnsi"/>
          <w:b/>
          <w:bCs/>
          <w:sz w:val="20"/>
          <w:szCs w:val="20"/>
        </w:rPr>
      </w:pPr>
    </w:p>
    <w:p w:rsidR="00C44C68" w:rsidRDefault="00C44C68" w:rsidP="00C44C68">
      <w:pPr>
        <w:jc w:val="both"/>
        <w:rPr>
          <w:rFonts w:asciiTheme="minorHAnsi" w:hAnsiTheme="minorHAnsi"/>
          <w:b/>
          <w:bCs/>
          <w:sz w:val="20"/>
          <w:szCs w:val="20"/>
        </w:rPr>
      </w:pPr>
    </w:p>
    <w:p w:rsidR="00C44C68" w:rsidRPr="00520530" w:rsidRDefault="00C44C68" w:rsidP="00C44C68">
      <w:pPr>
        <w:tabs>
          <w:tab w:val="left" w:pos="4395"/>
        </w:tabs>
        <w:jc w:val="both"/>
        <w:rPr>
          <w:rFonts w:ascii="Arial Narrow" w:hAnsi="Arial Narrow"/>
        </w:rPr>
      </w:pPr>
      <w:r>
        <w:rPr>
          <w:rFonts w:ascii="Arial Narrow" w:hAnsi="Arial Narrow"/>
        </w:rPr>
        <w:tab/>
        <w:t xml:space="preserve">  </w:t>
      </w:r>
    </w:p>
    <w:p w:rsidR="00C44C68" w:rsidRDefault="00C44C68" w:rsidP="00C44C68">
      <w:pPr>
        <w:jc w:val="both"/>
        <w:rPr>
          <w:rFonts w:ascii="Arial Narrow" w:hAnsi="Arial Narrow"/>
        </w:rPr>
      </w:pPr>
      <w:r w:rsidRPr="00D462FF">
        <w:rPr>
          <w:rFonts w:ascii="Arial Narrow" w:hAnsi="Arial Narrow"/>
          <w:noProof/>
        </w:rPr>
        <w:drawing>
          <wp:inline distT="0" distB="0" distL="0" distR="0" wp14:anchorId="31995B4C" wp14:editId="635039AD">
            <wp:extent cx="3200400" cy="1828800"/>
            <wp:effectExtent l="0" t="0" r="19050" b="19050"/>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Arial Narrow" w:hAnsi="Arial Narrow"/>
        </w:rPr>
        <w:t xml:space="preserve"> </w:t>
      </w:r>
      <w:r w:rsidRPr="00194415">
        <w:rPr>
          <w:rFonts w:ascii="Arial Narrow" w:hAnsi="Arial Narrow"/>
          <w:noProof/>
        </w:rPr>
        <w:drawing>
          <wp:inline distT="0" distB="0" distL="0" distR="0" wp14:anchorId="17C199D9" wp14:editId="7937DC97">
            <wp:extent cx="3095625" cy="1838325"/>
            <wp:effectExtent l="0" t="0" r="9525" b="9525"/>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44C68" w:rsidRDefault="00C44C68" w:rsidP="00C44C68">
      <w:pPr>
        <w:jc w:val="both"/>
        <w:rPr>
          <w:rFonts w:ascii="Arial Narrow" w:hAnsi="Arial Narrow"/>
        </w:rPr>
      </w:pPr>
    </w:p>
    <w:p w:rsidR="00C44C68" w:rsidRDefault="00C44C68" w:rsidP="00C44C68">
      <w:pPr>
        <w:pStyle w:val="aa"/>
        <w:numPr>
          <w:ilvl w:val="0"/>
          <w:numId w:val="13"/>
        </w:numPr>
        <w:jc w:val="both"/>
        <w:rPr>
          <w:rFonts w:ascii="Arial Narrow" w:hAnsi="Arial Narrow"/>
        </w:rPr>
      </w:pPr>
      <w:r w:rsidRPr="00D12303">
        <w:rPr>
          <w:rFonts w:ascii="Arial Narrow" w:hAnsi="Arial Narrow"/>
        </w:rPr>
        <w:t>Αυξάνονται στο εξάμηνο οι επιχειρήσεις που δηλώνουν ότι καθυστερούν να καταβάλλουν οφειλές προς προμηθευτές από 19% σε 21,7%, σοβαρή ένδειξη ότι ο ιδιωτικός τομέας βρίσκεται σε οικονομική ασφυξία. Η αύξηση της έκθεσης στο χρέος ιδιωτών αντανακλά την περιορισμένη ρευστότητα και τη μείωση της αποδοχής των μεταχρονολογημένων επιταγών ως μέσο εξόφλησης.</w:t>
      </w:r>
    </w:p>
    <w:p w:rsidR="00C44C68" w:rsidRDefault="00C44C68" w:rsidP="00C44C68">
      <w:pPr>
        <w:jc w:val="both"/>
        <w:rPr>
          <w:rFonts w:ascii="Arial Narrow" w:hAnsi="Arial Narrow"/>
        </w:rPr>
      </w:pPr>
    </w:p>
    <w:p w:rsidR="00C44C68" w:rsidRPr="00FB00C8" w:rsidRDefault="00C44C68" w:rsidP="00C44C68">
      <w:pPr>
        <w:ind w:firstLine="360"/>
        <w:jc w:val="both"/>
        <w:rPr>
          <w:rFonts w:asciiTheme="minorHAnsi" w:hAnsiTheme="minorHAnsi"/>
          <w:b/>
          <w:bCs/>
          <w:sz w:val="20"/>
          <w:szCs w:val="20"/>
          <w:u w:val="single"/>
        </w:rPr>
      </w:pPr>
      <w:r w:rsidRPr="00FB00C8">
        <w:rPr>
          <w:rFonts w:asciiTheme="minorHAnsi" w:hAnsiTheme="minorHAnsi"/>
          <w:b/>
          <w:bCs/>
          <w:sz w:val="20"/>
          <w:szCs w:val="20"/>
          <w:u w:val="single"/>
        </w:rPr>
        <w:t>ΓΡΑΦΗ</w:t>
      </w:r>
      <w:r>
        <w:rPr>
          <w:rFonts w:asciiTheme="minorHAnsi" w:hAnsiTheme="minorHAnsi"/>
          <w:b/>
          <w:bCs/>
          <w:sz w:val="20"/>
          <w:szCs w:val="20"/>
          <w:u w:val="single"/>
        </w:rPr>
        <w:t>ΜΑ 15</w:t>
      </w:r>
      <w:r w:rsidRPr="00FB00C8">
        <w:rPr>
          <w:rFonts w:asciiTheme="minorHAnsi" w:hAnsiTheme="minorHAnsi"/>
          <w:b/>
          <w:bCs/>
          <w:sz w:val="20"/>
          <w:szCs w:val="20"/>
          <w:u w:val="single"/>
        </w:rPr>
        <w:t>- ΚΑΘΥΣΤΕΡΗΜΕΝΕΣ ΟΦΕΙΛΕΣ</w:t>
      </w:r>
    </w:p>
    <w:p w:rsidR="00C44C68" w:rsidRPr="007774AD" w:rsidRDefault="00C44C68" w:rsidP="00C44C68">
      <w:pPr>
        <w:ind w:firstLine="360"/>
        <w:jc w:val="both"/>
        <w:rPr>
          <w:rFonts w:asciiTheme="minorHAnsi" w:hAnsiTheme="minorHAnsi"/>
          <w:b/>
          <w:bCs/>
          <w:sz w:val="20"/>
          <w:szCs w:val="20"/>
        </w:rPr>
      </w:pPr>
      <w:r w:rsidRPr="00FB00C8">
        <w:rPr>
          <w:rFonts w:asciiTheme="minorHAnsi" w:hAnsiTheme="minorHAnsi"/>
          <w:b/>
          <w:bCs/>
          <w:sz w:val="20"/>
          <w:szCs w:val="20"/>
        </w:rPr>
        <w:t>Εσείς, κατά το τελευταίο εξάμηνο έχετε καθυστερημένες οφειλές…</w:t>
      </w:r>
    </w:p>
    <w:p w:rsidR="00C44C68" w:rsidRDefault="00C44C68" w:rsidP="00C44C68">
      <w:pPr>
        <w:jc w:val="both"/>
        <w:rPr>
          <w:rFonts w:ascii="Arial Narrow" w:hAnsi="Arial Narrow"/>
        </w:rPr>
      </w:pPr>
      <w:r>
        <w:rPr>
          <w:rFonts w:ascii="Arial Narrow" w:hAnsi="Arial Narrow"/>
          <w:b/>
          <w:noProof/>
          <w:color w:val="FF0000"/>
          <w:u w:val="single"/>
        </w:rPr>
        <w:drawing>
          <wp:anchor distT="0" distB="0" distL="114300" distR="114300" simplePos="0" relativeHeight="251748864" behindDoc="0" locked="0" layoutInCell="1" allowOverlap="1" wp14:anchorId="7840DDA4" wp14:editId="6B83D968">
            <wp:simplePos x="0" y="0"/>
            <wp:positionH relativeFrom="column">
              <wp:posOffset>47626</wp:posOffset>
            </wp:positionH>
            <wp:positionV relativeFrom="paragraph">
              <wp:posOffset>117475</wp:posOffset>
            </wp:positionV>
            <wp:extent cx="6057900" cy="1997317"/>
            <wp:effectExtent l="0" t="0" r="0" b="3175"/>
            <wp:wrapNone/>
            <wp:docPr id="22" name="Γράφημα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C44C68" w:rsidRDefault="00C44C68" w:rsidP="00C44C68">
      <w:pPr>
        <w:jc w:val="both"/>
        <w:rPr>
          <w:rFonts w:ascii="Arial Narrow" w:hAnsi="Arial Narrow"/>
        </w:rPr>
      </w:pPr>
    </w:p>
    <w:p w:rsidR="00D12303" w:rsidRPr="00C44C68" w:rsidRDefault="00C44C68" w:rsidP="00C44C68">
      <w:pPr>
        <w:pStyle w:val="aa"/>
        <w:numPr>
          <w:ilvl w:val="0"/>
          <w:numId w:val="45"/>
        </w:numPr>
        <w:ind w:left="426" w:hanging="426"/>
        <w:jc w:val="both"/>
        <w:rPr>
          <w:rFonts w:ascii="Arial Narrow" w:hAnsi="Arial Narrow"/>
        </w:rPr>
      </w:pPr>
      <w:r w:rsidRPr="00FF78B1">
        <w:rPr>
          <w:rFonts w:ascii="Arial Narrow" w:hAnsi="Arial Narrow"/>
        </w:rPr>
        <w:lastRenderedPageBreak/>
        <w:t>Υψηλές παραμένουν οι ληξιπρόθεσμές οφειλές προς ΔΕΚΟ, καθώς το 22,1% των επιχειρήσεων δεν αποπληρώνει εγκαίρως, παρά τις διαδοχικές ρυθμίσεις της ΔΕΗ. Τα επίσημα στοιχεία καταγράφουν πάνω από 500,000 ελεύθερους επαγγελματίες και επιχειρήσεις όλων των κλάδων (επιστήμονες, βιοτέχνες, έμποροι, υπηρεσίες κα) να έχουν χρέη προς τις εταιρείες παροχής ηλεκτρικού ρεύματος. Τούτο σημαίνει ότι απαιτείται ενδεχομένως να ενταχθούν και τα χρέη μικρών επιχειρήσεων προς ΔΕΚΟ στον εξωδικαστικό μηχανισμό ρύθμισης οφειλών.</w:t>
      </w:r>
    </w:p>
    <w:p w:rsidR="00C44C68" w:rsidRDefault="00C44C68" w:rsidP="00C44C68">
      <w:pPr>
        <w:pStyle w:val="aa"/>
        <w:numPr>
          <w:ilvl w:val="0"/>
          <w:numId w:val="13"/>
        </w:numPr>
        <w:jc w:val="both"/>
        <w:rPr>
          <w:rFonts w:ascii="Arial Narrow" w:hAnsi="Arial Narrow"/>
        </w:rPr>
      </w:pPr>
      <w:r>
        <w:rPr>
          <w:rFonts w:ascii="Arial Narrow" w:hAnsi="Arial Narrow"/>
        </w:rPr>
        <w:t xml:space="preserve">Οι </w:t>
      </w:r>
      <w:r w:rsidRPr="00C44C68">
        <w:rPr>
          <w:rFonts w:ascii="Arial Narrow" w:hAnsi="Arial Narrow"/>
        </w:rPr>
        <w:t>στατιστικές προβολές του ΙΜΕ ΓΣΕΒΕΕ δείχνουν ότι έχει παγιωθεί ένα περιβάλλον υψηλής έκθεσης των επιχειρήσεων σε οφειλές προς το δημόσιο και τον ιδιωτικό τομέα. Πάνω από 3 στις 10 επιχειρήσεις αναμένεται να μην ανταποκριθούν στις φορολογικές και ασφαλιστικές υποχρεώσεις τους για το 2016. Αξίζει να σημειωθεί ότι 9,3% των επιχειρήσεων έχει ταυτόχρονα οφειλές σε δημόσιο και ασφαλιστικά ταμεία. Τα συνολικά ληξιπρόθεσμα χρέη νοικοκυριών και επιχειρήσεων προς την εφορία, τα ασφαλιστικά ταμεία και τις τράπεζες πλέον προσεγγίζουν τα 220 δις, υπερβαίνουν κατά πολύ το ΑΕΠ της χώρας.  Η νομοθετική παρέμβαση για τον εξωδικαστικό μηχανισμό ρύθμισης ιδιωτικού χρέους αποτελεί θετική εξέλιξη, αλλά πρέπει να συμπεριλάβει όλες τις μορφές επιχειρήσεων και όλες τις οφειλές. Παράλληλα, η ομηρία από τα χρέη πρέπει να δώσει τη θέση της σε μια δεύτερη ευκαιρία για τις μη δόλιες πτωχεύσεις, με ουσιαστική στήριξη όσων επιθυμούν να επιχειρήσουν ξανά.</w:t>
      </w:r>
    </w:p>
    <w:p w:rsidR="00C44C68" w:rsidRDefault="00C44C68" w:rsidP="00C44C68">
      <w:pPr>
        <w:pStyle w:val="aa"/>
        <w:numPr>
          <w:ilvl w:val="0"/>
          <w:numId w:val="13"/>
        </w:numPr>
        <w:jc w:val="both"/>
        <w:rPr>
          <w:rFonts w:ascii="Arial Narrow" w:hAnsi="Arial Narrow"/>
        </w:rPr>
      </w:pPr>
      <w:r w:rsidRPr="00490064">
        <w:rPr>
          <w:rFonts w:ascii="Arial Narrow" w:hAnsi="Arial Narrow"/>
          <w:b/>
        </w:rPr>
        <w:t>Σχετικά με τις εισφορές προς το νέο ασφαλιστικό φορέα</w:t>
      </w:r>
      <w:r>
        <w:rPr>
          <w:rFonts w:ascii="Arial Narrow" w:hAnsi="Arial Narrow"/>
          <w:b/>
        </w:rPr>
        <w:t xml:space="preserve"> (γράφημα 14</w:t>
      </w:r>
      <w:r w:rsidRPr="00490064">
        <w:rPr>
          <w:rFonts w:ascii="Arial Narrow" w:hAnsi="Arial Narrow"/>
          <w:b/>
        </w:rPr>
        <w:t>), τα πιο πρόσφατα στοιχεία καταδεικνύουν ότι το μεγαλύτερο ποσοστό των υπόχρεων (73,3%) δηλώνει ότι καταβάλλει λιγότερες εισφορές</w:t>
      </w:r>
      <w:r w:rsidRPr="00163287">
        <w:rPr>
          <w:rFonts w:ascii="Arial Narrow" w:hAnsi="Arial Narrow"/>
        </w:rPr>
        <w:t>, το 25,8% ότι καταβάλλει περισσότερες, ενώ μόλις</w:t>
      </w:r>
      <w:r>
        <w:rPr>
          <w:rFonts w:ascii="Arial Narrow" w:hAnsi="Arial Narrow"/>
        </w:rPr>
        <w:t xml:space="preserve"> το</w:t>
      </w:r>
      <w:r w:rsidRPr="00163287">
        <w:rPr>
          <w:rFonts w:ascii="Arial Narrow" w:hAnsi="Arial Narrow"/>
        </w:rPr>
        <w:t xml:space="preserve"> 1% δηλώνει ότι καταβάλλει τα ίδια ποσά. Σε ευνοϊκότερη θέση είναι οι ατομικές επιχειρήσεις χωρίς προσω</w:t>
      </w:r>
      <w:r w:rsidR="001B1D37">
        <w:rPr>
          <w:rFonts w:ascii="Arial Narrow" w:hAnsi="Arial Narrow"/>
        </w:rPr>
        <w:t>πικό (77,6% πληρώνουν λιγότερα)</w:t>
      </w:r>
      <w:r w:rsidRPr="00163287">
        <w:rPr>
          <w:rFonts w:ascii="Arial Narrow" w:hAnsi="Arial Narrow"/>
        </w:rPr>
        <w:t>.</w:t>
      </w:r>
      <w:r w:rsidRPr="002211DA">
        <w:t xml:space="preserve"> </w:t>
      </w:r>
      <w:r w:rsidRPr="007516BA">
        <w:rPr>
          <w:rFonts w:ascii="Arial Narrow" w:hAnsi="Arial Narrow"/>
        </w:rPr>
        <w:t>Ωστόσο, το 30</w:t>
      </w:r>
      <w:r>
        <w:rPr>
          <w:rFonts w:ascii="Arial Narrow" w:hAnsi="Arial Narrow"/>
        </w:rPr>
        <w:t>,5</w:t>
      </w:r>
      <w:r w:rsidRPr="007516BA">
        <w:rPr>
          <w:rFonts w:ascii="Arial Narrow" w:hAnsi="Arial Narrow"/>
        </w:rPr>
        <w:t>% αναφέρει ότι δεν θα μπορέσει να ανταποκριθε</w:t>
      </w:r>
      <w:r>
        <w:rPr>
          <w:rFonts w:ascii="Arial Narrow" w:hAnsi="Arial Narrow"/>
        </w:rPr>
        <w:t>ί στις ασφαλιστικές του υποχρεώσεις.</w:t>
      </w:r>
    </w:p>
    <w:p w:rsidR="00295E51" w:rsidRDefault="00295E51" w:rsidP="00C44C68">
      <w:pPr>
        <w:pStyle w:val="aa"/>
        <w:ind w:left="360"/>
        <w:jc w:val="both"/>
        <w:rPr>
          <w:rFonts w:ascii="Arial Narrow" w:hAnsi="Arial Narrow"/>
        </w:rPr>
      </w:pPr>
    </w:p>
    <w:p w:rsidR="00C44C68" w:rsidRPr="00C44C68" w:rsidRDefault="00C44C68" w:rsidP="00C44C68">
      <w:pPr>
        <w:pStyle w:val="aa"/>
        <w:ind w:left="360"/>
        <w:jc w:val="both"/>
        <w:rPr>
          <w:rFonts w:ascii="Arial Narrow" w:hAnsi="Arial Narrow"/>
        </w:rPr>
      </w:pPr>
    </w:p>
    <w:p w:rsidR="00B35EFC" w:rsidRPr="00E347CD" w:rsidRDefault="00C44C68" w:rsidP="00B35EFC">
      <w:pPr>
        <w:jc w:val="both"/>
        <w:rPr>
          <w:rFonts w:asciiTheme="minorHAnsi" w:hAnsiTheme="minorHAnsi"/>
          <w:b/>
          <w:bCs/>
          <w:sz w:val="20"/>
          <w:szCs w:val="20"/>
          <w:u w:val="single"/>
        </w:rPr>
      </w:pPr>
      <w:r>
        <w:rPr>
          <w:rFonts w:asciiTheme="minorHAnsi" w:hAnsiTheme="minorHAnsi"/>
          <w:b/>
          <w:bCs/>
          <w:sz w:val="20"/>
          <w:szCs w:val="20"/>
          <w:u w:val="single"/>
        </w:rPr>
        <w:t>ΓΡΑΦΗΜΑ 16</w:t>
      </w:r>
      <w:r w:rsidR="00B35EFC" w:rsidRPr="00E347CD">
        <w:rPr>
          <w:rFonts w:asciiTheme="minorHAnsi" w:hAnsiTheme="minorHAnsi"/>
          <w:b/>
          <w:bCs/>
          <w:sz w:val="20"/>
          <w:szCs w:val="20"/>
          <w:u w:val="single"/>
        </w:rPr>
        <w:t xml:space="preserve">- </w:t>
      </w:r>
      <w:r w:rsidR="00B35EFC">
        <w:rPr>
          <w:rFonts w:asciiTheme="minorHAnsi" w:hAnsiTheme="minorHAnsi"/>
          <w:b/>
          <w:bCs/>
          <w:sz w:val="20"/>
          <w:szCs w:val="20"/>
          <w:u w:val="single"/>
        </w:rPr>
        <w:t>ΣΥΓΚΡΙΣΗ ΑΣΦΑΛΙΣΤΙΚΩΝ ΕΙΣΦΟΡΩΝ</w:t>
      </w:r>
    </w:p>
    <w:p w:rsidR="00B35EFC" w:rsidRDefault="00B35EFC" w:rsidP="00B35EFC">
      <w:pPr>
        <w:jc w:val="both"/>
        <w:rPr>
          <w:rFonts w:asciiTheme="minorHAnsi" w:hAnsiTheme="minorHAnsi"/>
          <w:b/>
          <w:bCs/>
          <w:sz w:val="20"/>
          <w:szCs w:val="20"/>
        </w:rPr>
      </w:pPr>
      <w:r w:rsidRPr="007F69EE">
        <w:rPr>
          <w:rFonts w:asciiTheme="minorHAnsi" w:hAnsiTheme="minorHAnsi"/>
          <w:b/>
          <w:bCs/>
          <w:noProof/>
          <w:sz w:val="20"/>
          <w:szCs w:val="20"/>
        </w:rPr>
        <mc:AlternateContent>
          <mc:Choice Requires="wps">
            <w:drawing>
              <wp:anchor distT="0" distB="0" distL="114300" distR="114300" simplePos="0" relativeHeight="251741696" behindDoc="0" locked="0" layoutInCell="1" allowOverlap="1" wp14:anchorId="00E6D49D" wp14:editId="32773F7C">
                <wp:simplePos x="0" y="0"/>
                <wp:positionH relativeFrom="column">
                  <wp:posOffset>0</wp:posOffset>
                </wp:positionH>
                <wp:positionV relativeFrom="paragraph">
                  <wp:posOffset>86995</wp:posOffset>
                </wp:positionV>
                <wp:extent cx="4057650" cy="609600"/>
                <wp:effectExtent l="0" t="0" r="19050" b="19050"/>
                <wp:wrapNone/>
                <wp:docPr id="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09600"/>
                        </a:xfrm>
                        <a:prstGeom prst="rect">
                          <a:avLst/>
                        </a:prstGeom>
                        <a:solidFill>
                          <a:srgbClr val="FFFFFF"/>
                        </a:solidFill>
                        <a:ln w="9525">
                          <a:solidFill>
                            <a:srgbClr val="000000"/>
                          </a:solidFill>
                          <a:prstDash val="sysDash"/>
                          <a:miter lim="800000"/>
                          <a:headEnd/>
                          <a:tailEnd/>
                        </a:ln>
                      </wps:spPr>
                      <wps:txbx>
                        <w:txbxContent>
                          <w:p w:rsidR="004E68C3" w:rsidRPr="007F69EE" w:rsidRDefault="004E68C3" w:rsidP="00B35EFC">
                            <w:pPr>
                              <w:jc w:val="both"/>
                              <w:rPr>
                                <w:rFonts w:asciiTheme="minorHAnsi" w:hAnsiTheme="minorHAnsi"/>
                                <w:b/>
                                <w:bCs/>
                                <w:sz w:val="20"/>
                                <w:szCs w:val="20"/>
                              </w:rPr>
                            </w:pPr>
                            <w:r w:rsidRPr="00194415">
                              <w:rPr>
                                <w:rFonts w:asciiTheme="minorHAnsi" w:hAnsiTheme="minorHAnsi"/>
                                <w:b/>
                                <w:bCs/>
                                <w:sz w:val="20"/>
                                <w:szCs w:val="20"/>
                              </w:rPr>
                              <w:t>Γνωρίζετε αν με το νέο σύστημα των ασφαλιστικών εισφορών, θα πληρώνετε περισσότερα ή λιγότερα;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6.85pt;width:319.5pt;height:4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">
                <v:stroke dashstyle="3 1"/>
                <v:textbox>
                  <w:txbxContent>
                    <w:p w:rsidR="004E68C3" w:rsidRPr="007F69EE" w:rsidRDefault="004E68C3" w:rsidP="00B35EFC">
                      <w:pPr>
                        <w:jc w:val="both"/>
                        <w:rPr>
                          <w:rFonts w:asciiTheme="minorHAnsi" w:hAnsiTheme="minorHAnsi"/>
                          <w:b/>
                          <w:bCs/>
                          <w:sz w:val="20"/>
                          <w:szCs w:val="20"/>
                        </w:rPr>
                      </w:pPr>
                      <w:r w:rsidRPr="00194415">
                        <w:rPr>
                          <w:rFonts w:asciiTheme="minorHAnsi" w:hAnsiTheme="minorHAnsi"/>
                          <w:b/>
                          <w:bCs/>
                          <w:sz w:val="20"/>
                          <w:szCs w:val="20"/>
                        </w:rPr>
                        <w:t>Γνωρίζετε αν με το νέο σύστημα των ασφαλιστικών εισφορών, θα πληρώνετε περισσότερα ή λιγότερα;</w:t>
                      </w:r>
                    </w:p>
                  </w:txbxContent>
                </v:textbox>
              </v:shape>
            </w:pict>
          </mc:Fallback>
        </mc:AlternateContent>
      </w:r>
    </w:p>
    <w:p w:rsidR="00B35EFC" w:rsidRDefault="00B35EFC" w:rsidP="00B35EFC">
      <w:pPr>
        <w:jc w:val="both"/>
        <w:rPr>
          <w:rFonts w:asciiTheme="minorHAnsi" w:hAnsiTheme="minorHAnsi"/>
          <w:b/>
          <w:bCs/>
          <w:sz w:val="20"/>
          <w:szCs w:val="20"/>
        </w:rPr>
      </w:pPr>
    </w:p>
    <w:p w:rsidR="00B35EFC" w:rsidRDefault="00B35EFC" w:rsidP="00B35EFC">
      <w:pPr>
        <w:jc w:val="both"/>
        <w:rPr>
          <w:rFonts w:ascii="Arial Narrow" w:hAnsi="Arial Narrow"/>
        </w:rPr>
      </w:pPr>
    </w:p>
    <w:p w:rsidR="00B35EFC" w:rsidRDefault="00B35EFC" w:rsidP="00B35EFC">
      <w:pPr>
        <w:jc w:val="both"/>
        <w:rPr>
          <w:rFonts w:ascii="Arial Narrow" w:hAnsi="Arial Narrow"/>
        </w:rPr>
      </w:pPr>
    </w:p>
    <w:p w:rsidR="00B35EFC" w:rsidRDefault="00B35EFC" w:rsidP="00B35EFC">
      <w:pPr>
        <w:jc w:val="both"/>
        <w:rPr>
          <w:rFonts w:ascii="Arial Narrow" w:hAnsi="Arial Narrow"/>
        </w:rPr>
      </w:pPr>
    </w:p>
    <w:p w:rsidR="00B35EFC" w:rsidRDefault="00295E51" w:rsidP="00B35EFC">
      <w:pPr>
        <w:jc w:val="both"/>
        <w:rPr>
          <w:rFonts w:ascii="Arial Narrow" w:hAnsi="Arial Narrow"/>
        </w:rPr>
      </w:pPr>
      <w:r w:rsidRPr="00194415">
        <w:rPr>
          <w:rFonts w:ascii="Arial Narrow" w:hAnsi="Arial Narrow"/>
          <w:noProof/>
        </w:rPr>
        <w:drawing>
          <wp:anchor distT="0" distB="0" distL="114300" distR="114300" simplePos="0" relativeHeight="251743744" behindDoc="0" locked="0" layoutInCell="1" allowOverlap="1" wp14:anchorId="0D1B18A8" wp14:editId="638D8D6A">
            <wp:simplePos x="0" y="0"/>
            <wp:positionH relativeFrom="column">
              <wp:posOffset>113665</wp:posOffset>
            </wp:positionH>
            <wp:positionV relativeFrom="paragraph">
              <wp:posOffset>5080</wp:posOffset>
            </wp:positionV>
            <wp:extent cx="3667125" cy="2095500"/>
            <wp:effectExtent l="0" t="0" r="9525" b="19050"/>
            <wp:wrapSquare wrapText="bothSides"/>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B35EFC" w:rsidRDefault="00B35EFC" w:rsidP="00B35EFC">
      <w:pPr>
        <w:jc w:val="both"/>
        <w:rPr>
          <w:rFonts w:ascii="Arial Narrow" w:hAnsi="Arial Narrow"/>
        </w:rPr>
      </w:pPr>
    </w:p>
    <w:p w:rsidR="007516BA" w:rsidRPr="007516BA" w:rsidRDefault="007516BA" w:rsidP="007516BA">
      <w:pPr>
        <w:jc w:val="both"/>
        <w:rPr>
          <w:rFonts w:ascii="Arial Narrow" w:hAnsi="Arial Narrow"/>
        </w:rPr>
      </w:pPr>
    </w:p>
    <w:p w:rsidR="004C67C8" w:rsidRPr="00C44C68" w:rsidRDefault="004C67C8" w:rsidP="00C44C68">
      <w:pPr>
        <w:jc w:val="both"/>
        <w:rPr>
          <w:rFonts w:ascii="Arial Narrow" w:hAnsi="Arial Narrow"/>
        </w:rPr>
      </w:pPr>
    </w:p>
    <w:p w:rsidR="00C44C68" w:rsidRDefault="00C44C68" w:rsidP="007516BA">
      <w:pPr>
        <w:pStyle w:val="aa"/>
        <w:ind w:left="426"/>
        <w:jc w:val="both"/>
        <w:rPr>
          <w:rFonts w:ascii="Arial Narrow" w:hAnsi="Arial Narrow"/>
        </w:rPr>
      </w:pPr>
    </w:p>
    <w:p w:rsidR="00C44C68" w:rsidRDefault="00C44C68" w:rsidP="007516BA">
      <w:pPr>
        <w:pStyle w:val="aa"/>
        <w:ind w:left="426"/>
        <w:jc w:val="both"/>
        <w:rPr>
          <w:rFonts w:ascii="Arial Narrow" w:hAnsi="Arial Narrow"/>
        </w:rPr>
      </w:pPr>
    </w:p>
    <w:p w:rsidR="00C44C68" w:rsidRDefault="00C44C68" w:rsidP="007516BA">
      <w:pPr>
        <w:pStyle w:val="aa"/>
        <w:ind w:left="426"/>
        <w:jc w:val="both"/>
        <w:rPr>
          <w:rFonts w:ascii="Arial Narrow" w:hAnsi="Arial Narrow"/>
        </w:rPr>
      </w:pPr>
    </w:p>
    <w:p w:rsidR="00C44C68" w:rsidRDefault="00C44C68" w:rsidP="007516BA">
      <w:pPr>
        <w:pStyle w:val="aa"/>
        <w:ind w:left="426"/>
        <w:jc w:val="both"/>
        <w:rPr>
          <w:rFonts w:ascii="Arial Narrow" w:hAnsi="Arial Narrow"/>
        </w:rPr>
      </w:pPr>
    </w:p>
    <w:p w:rsidR="00C44C68" w:rsidRDefault="00C44C68" w:rsidP="007516BA">
      <w:pPr>
        <w:pStyle w:val="aa"/>
        <w:ind w:left="426"/>
        <w:jc w:val="both"/>
        <w:rPr>
          <w:rFonts w:ascii="Arial Narrow" w:hAnsi="Arial Narrow"/>
        </w:rPr>
      </w:pPr>
    </w:p>
    <w:p w:rsidR="00C44C68" w:rsidRDefault="00C44C68" w:rsidP="007516BA">
      <w:pPr>
        <w:pStyle w:val="aa"/>
        <w:ind w:left="426"/>
        <w:jc w:val="both"/>
        <w:rPr>
          <w:rFonts w:ascii="Arial Narrow" w:hAnsi="Arial Narrow"/>
        </w:rPr>
      </w:pPr>
    </w:p>
    <w:p w:rsidR="00C44C68" w:rsidRDefault="00C44C68" w:rsidP="007516BA">
      <w:pPr>
        <w:pStyle w:val="aa"/>
        <w:ind w:left="426"/>
        <w:jc w:val="both"/>
        <w:rPr>
          <w:rFonts w:ascii="Arial Narrow" w:hAnsi="Arial Narrow"/>
        </w:rPr>
      </w:pPr>
    </w:p>
    <w:p w:rsidR="004C67C8" w:rsidRPr="007516BA" w:rsidRDefault="004C67C8" w:rsidP="007516BA">
      <w:pPr>
        <w:pStyle w:val="aa"/>
        <w:ind w:left="426"/>
        <w:jc w:val="both"/>
        <w:rPr>
          <w:rFonts w:ascii="Arial Narrow" w:hAnsi="Arial Narrow"/>
        </w:rPr>
      </w:pPr>
    </w:p>
    <w:p w:rsidR="00FF78B1" w:rsidRDefault="00FF78B1" w:rsidP="00FF78B1">
      <w:pPr>
        <w:jc w:val="both"/>
        <w:rPr>
          <w:rFonts w:ascii="Arial Narrow" w:hAnsi="Arial Narrow"/>
        </w:rPr>
      </w:pPr>
    </w:p>
    <w:p w:rsidR="00EE5E7D" w:rsidRDefault="00EE5E7D" w:rsidP="00FF78B1">
      <w:pPr>
        <w:jc w:val="both"/>
        <w:rPr>
          <w:rFonts w:ascii="Arial Narrow" w:hAnsi="Arial Narrow"/>
        </w:rPr>
      </w:pPr>
    </w:p>
    <w:p w:rsidR="00C44C68" w:rsidRPr="00FF78B1" w:rsidRDefault="00C44C68" w:rsidP="00FF78B1">
      <w:pPr>
        <w:jc w:val="both"/>
        <w:rPr>
          <w:rFonts w:ascii="Arial Narrow" w:hAnsi="Arial Narrow"/>
        </w:rPr>
      </w:pPr>
    </w:p>
    <w:p w:rsidR="0059229F" w:rsidRPr="00295E51" w:rsidRDefault="0059229F" w:rsidP="00295E51">
      <w:pPr>
        <w:pStyle w:val="aa"/>
        <w:numPr>
          <w:ilvl w:val="0"/>
          <w:numId w:val="46"/>
        </w:numPr>
        <w:ind w:left="426" w:hanging="426"/>
        <w:jc w:val="both"/>
        <w:rPr>
          <w:rFonts w:ascii="Arial Narrow" w:hAnsi="Arial Narrow"/>
          <w:b/>
          <w:u w:val="single"/>
        </w:rPr>
      </w:pPr>
      <w:r w:rsidRPr="00295E51">
        <w:rPr>
          <w:rFonts w:ascii="Arial Narrow" w:hAnsi="Arial Narrow"/>
          <w:b/>
          <w:u w:val="single"/>
        </w:rPr>
        <w:t xml:space="preserve">ΕΙΔΙΚΟ ΘΕΜΑ </w:t>
      </w:r>
      <w:proofErr w:type="spellStart"/>
      <w:r w:rsidRPr="00295E51">
        <w:rPr>
          <w:rFonts w:ascii="Arial Narrow" w:hAnsi="Arial Narrow"/>
          <w:b/>
          <w:u w:val="single"/>
        </w:rPr>
        <w:t>ΜμΕ</w:t>
      </w:r>
      <w:proofErr w:type="spellEnd"/>
      <w:r w:rsidRPr="00295E51">
        <w:rPr>
          <w:rFonts w:ascii="Arial Narrow" w:hAnsi="Arial Narrow"/>
          <w:b/>
          <w:u w:val="single"/>
        </w:rPr>
        <w:t xml:space="preserve">- </w:t>
      </w:r>
      <w:r w:rsidR="006E1FB6" w:rsidRPr="00295E51">
        <w:rPr>
          <w:rFonts w:ascii="Arial Narrow" w:hAnsi="Arial Narrow"/>
          <w:b/>
          <w:u w:val="single"/>
        </w:rPr>
        <w:t>ΗΛΕΚΤΡΟΝΙΚΕΣ ΣΥΝΑΛΛΑΓΕΣ</w:t>
      </w:r>
    </w:p>
    <w:p w:rsidR="00331FFB" w:rsidRPr="00331FFB" w:rsidRDefault="00331FFB" w:rsidP="00331FFB">
      <w:pPr>
        <w:jc w:val="both"/>
        <w:rPr>
          <w:rFonts w:ascii="Arial Narrow" w:hAnsi="Arial Narrow"/>
        </w:rPr>
      </w:pPr>
    </w:p>
    <w:p w:rsidR="003B486D" w:rsidRDefault="003B486D" w:rsidP="003B486D">
      <w:pPr>
        <w:pStyle w:val="aa"/>
        <w:numPr>
          <w:ilvl w:val="0"/>
          <w:numId w:val="27"/>
        </w:numPr>
        <w:ind w:left="426" w:hanging="426"/>
        <w:jc w:val="both"/>
        <w:rPr>
          <w:rFonts w:ascii="Arial Narrow" w:hAnsi="Arial Narrow"/>
        </w:rPr>
      </w:pPr>
      <w:r w:rsidRPr="003B486D">
        <w:rPr>
          <w:rFonts w:ascii="Arial Narrow" w:hAnsi="Arial Narrow"/>
        </w:rPr>
        <w:t>Από τον Ιούνιο του 2015 και μετά οι μικρές και πολύ μικρές επιχειρήσεις που έχουν υιοθετήσει το σύστημα των ηλεκτρονικών συναλλαγών έχουν αυξηθεί θεαματικά. Πιο συγκεκριμένα, οι επιχειρήσεις που χρησιμοποιούν e-</w:t>
      </w:r>
      <w:proofErr w:type="spellStart"/>
      <w:r w:rsidRPr="003B486D">
        <w:rPr>
          <w:rFonts w:ascii="Arial Narrow" w:hAnsi="Arial Narrow"/>
        </w:rPr>
        <w:t>banking</w:t>
      </w:r>
      <w:proofErr w:type="spellEnd"/>
      <w:r w:rsidRPr="003B486D">
        <w:rPr>
          <w:rFonts w:ascii="Arial Narrow" w:hAnsi="Arial Narrow"/>
        </w:rPr>
        <w:t xml:space="preserve"> αυξήθηκαν από τον Ιούλιο 2015 μέχρι τον Φεβρουάριο του 2017 από 48,5% σε 66,8%. Παράλληλα και κατά το ίδιο χρονικό διάστημα οι επιχειρήσεις που διαθέτουν μηχάνημα για συναλλαγές με πιστωτικές ή χρεωστικές κάρτες αυξήθηκαν από 28,1 % σε 52,4%.</w:t>
      </w:r>
    </w:p>
    <w:p w:rsidR="003B486D" w:rsidRPr="003B486D" w:rsidRDefault="003B486D" w:rsidP="003B486D">
      <w:pPr>
        <w:pStyle w:val="aa"/>
        <w:numPr>
          <w:ilvl w:val="0"/>
          <w:numId w:val="27"/>
        </w:numPr>
        <w:ind w:left="426" w:hanging="426"/>
        <w:jc w:val="both"/>
        <w:rPr>
          <w:rFonts w:ascii="Arial Narrow" w:hAnsi="Arial Narrow"/>
        </w:rPr>
      </w:pPr>
      <w:r w:rsidRPr="00331FFB">
        <w:rPr>
          <w:rFonts w:ascii="Arial Narrow" w:hAnsi="Arial Narrow"/>
        </w:rPr>
        <w:t>Σύμφωνα με στοιχεία της Ένωσης Ελληνικών Τραπεζών</w:t>
      </w:r>
      <w:r>
        <w:rPr>
          <w:rFonts w:ascii="Arial Narrow" w:hAnsi="Arial Narrow"/>
        </w:rPr>
        <w:t xml:space="preserve"> (γράφημα 18)</w:t>
      </w:r>
      <w:r w:rsidRPr="00331FFB">
        <w:rPr>
          <w:rFonts w:ascii="Arial Narrow" w:hAnsi="Arial Narrow"/>
        </w:rPr>
        <w:t>, ο αριθμός των διαθέσιμων τερματικών επανήλθε στα επ</w:t>
      </w:r>
      <w:r>
        <w:rPr>
          <w:rFonts w:ascii="Arial Narrow" w:hAnsi="Arial Narrow"/>
        </w:rPr>
        <w:t>ίπεδα προ κρίσης (περίπου στα 410,000</w:t>
      </w:r>
      <w:r w:rsidRPr="00331FFB">
        <w:rPr>
          <w:rFonts w:ascii="Arial Narrow" w:hAnsi="Arial Narrow"/>
        </w:rPr>
        <w:t xml:space="preserve"> τερματικά υπάρχουν</w:t>
      </w:r>
      <w:r>
        <w:rPr>
          <w:rFonts w:ascii="Arial Narrow" w:hAnsi="Arial Narrow"/>
        </w:rPr>
        <w:t xml:space="preserve"> σήμερα</w:t>
      </w:r>
      <w:r w:rsidRPr="00331FFB">
        <w:rPr>
          <w:rFonts w:ascii="Arial Narrow" w:hAnsi="Arial Narrow"/>
        </w:rPr>
        <w:t xml:space="preserve"> στην </w:t>
      </w:r>
      <w:r w:rsidRPr="00331FFB">
        <w:rPr>
          <w:rFonts w:ascii="Arial Narrow" w:hAnsi="Arial Narrow"/>
        </w:rPr>
        <w:lastRenderedPageBreak/>
        <w:t>αγορά), καθώς διευρύνθηκε ο αριθμός των επιχειρ</w:t>
      </w:r>
      <w:r>
        <w:rPr>
          <w:rFonts w:ascii="Arial Narrow" w:hAnsi="Arial Narrow"/>
        </w:rPr>
        <w:t xml:space="preserve">ήσεων που το χρησιμοποιούν, μετά από μια φάση δραματικής συρρίκνωσης (2010-2014) </w:t>
      </w:r>
      <w:r w:rsidRPr="00331FFB">
        <w:rPr>
          <w:rFonts w:ascii="Arial Narrow" w:hAnsi="Arial Narrow"/>
        </w:rPr>
        <w:t xml:space="preserve"> </w:t>
      </w:r>
      <w:r>
        <w:rPr>
          <w:rFonts w:ascii="Arial Narrow" w:hAnsi="Arial Narrow"/>
        </w:rPr>
        <w:t>που οφειλόταν στο κλείσιμο πολλών επιχειρήσεων αλλά και στον περιορισμό</w:t>
      </w:r>
      <w:r w:rsidRPr="00331FFB">
        <w:rPr>
          <w:rFonts w:ascii="Arial Narrow" w:hAnsi="Arial Narrow"/>
        </w:rPr>
        <w:t xml:space="preserve"> </w:t>
      </w:r>
      <w:r>
        <w:rPr>
          <w:rFonts w:ascii="Arial Narrow" w:hAnsi="Arial Narrow"/>
        </w:rPr>
        <w:t>τ</w:t>
      </w:r>
      <w:r w:rsidRPr="00331FFB">
        <w:rPr>
          <w:rFonts w:ascii="Arial Narrow" w:hAnsi="Arial Narrow"/>
        </w:rPr>
        <w:t>ο</w:t>
      </w:r>
      <w:r>
        <w:rPr>
          <w:rFonts w:ascii="Arial Narrow" w:hAnsi="Arial Narrow"/>
        </w:rPr>
        <w:t>υ αριθμού</w:t>
      </w:r>
      <w:r w:rsidRPr="00331FFB">
        <w:rPr>
          <w:rFonts w:ascii="Arial Narrow" w:hAnsi="Arial Narrow"/>
        </w:rPr>
        <w:t xml:space="preserve"> τους ανά επιχείρηση.</w:t>
      </w:r>
    </w:p>
    <w:p w:rsidR="00B35EFC" w:rsidRPr="003B486D" w:rsidRDefault="00331FFB" w:rsidP="00BF42B9">
      <w:pPr>
        <w:pStyle w:val="aa"/>
        <w:numPr>
          <w:ilvl w:val="0"/>
          <w:numId w:val="27"/>
        </w:numPr>
        <w:ind w:left="426" w:hanging="426"/>
        <w:jc w:val="both"/>
        <w:rPr>
          <w:rFonts w:ascii="Arial Narrow" w:hAnsi="Arial Narrow"/>
        </w:rPr>
      </w:pPr>
      <w:r w:rsidRPr="00331FFB">
        <w:rPr>
          <w:rFonts w:ascii="Arial Narrow" w:hAnsi="Arial Narrow"/>
        </w:rPr>
        <w:t xml:space="preserve">Ωστόσο, </w:t>
      </w:r>
      <w:r w:rsidRPr="001741D2">
        <w:rPr>
          <w:rFonts w:ascii="Arial Narrow" w:hAnsi="Arial Narrow"/>
          <w:b/>
        </w:rPr>
        <w:t>το τελευταίο εξάμηνο παρατηρείται ανάσχεση της αυξητικής τάσης των επιχειρήσεων</w:t>
      </w:r>
      <w:r w:rsidR="001741D2" w:rsidRPr="001741D2">
        <w:rPr>
          <w:rFonts w:ascii="Arial Narrow" w:hAnsi="Arial Narrow"/>
          <w:b/>
        </w:rPr>
        <w:t xml:space="preserve"> </w:t>
      </w:r>
      <w:r w:rsidR="001D38C8">
        <w:rPr>
          <w:rFonts w:ascii="Arial Narrow" w:hAnsi="Arial Narrow"/>
        </w:rPr>
        <w:t>(γράφημα 17</w:t>
      </w:r>
      <w:r w:rsidR="001741D2">
        <w:rPr>
          <w:rFonts w:ascii="Arial Narrow" w:hAnsi="Arial Narrow"/>
        </w:rPr>
        <w:t>)</w:t>
      </w:r>
      <w:r w:rsidRPr="00331FFB">
        <w:rPr>
          <w:rFonts w:ascii="Arial Narrow" w:hAnsi="Arial Narrow"/>
        </w:rPr>
        <w:t xml:space="preserve"> που διαθέτουν ηλεκτρονικά μέσα πληρωμής, καθώς το ποσοστό των επιχειρήσεων που διαθέτει e-</w:t>
      </w:r>
      <w:proofErr w:type="spellStart"/>
      <w:r w:rsidRPr="00331FFB">
        <w:rPr>
          <w:rFonts w:ascii="Arial Narrow" w:hAnsi="Arial Narrow"/>
        </w:rPr>
        <w:t>banking</w:t>
      </w:r>
      <w:proofErr w:type="spellEnd"/>
      <w:r w:rsidRPr="00331FFB">
        <w:rPr>
          <w:rFonts w:ascii="Arial Narrow" w:hAnsi="Arial Narrow"/>
        </w:rPr>
        <w:t xml:space="preserve"> ανήλθε μόλις στο 68,8% (από 66,4% τον Ιούλιο 2016) ενώ το ποσοστό εκείνων που διαθέτουν τερματικό </w:t>
      </w:r>
      <w:r>
        <w:rPr>
          <w:rFonts w:ascii="Arial Narrow" w:hAnsi="Arial Narrow"/>
        </w:rPr>
        <w:t>POS ανήλθε στο 52,4% (από 49%</w:t>
      </w:r>
      <w:r w:rsidR="001741D2">
        <w:rPr>
          <w:rFonts w:ascii="Arial Narrow" w:hAnsi="Arial Narrow"/>
        </w:rPr>
        <w:t xml:space="preserve"> τον Ιούλιο 2016</w:t>
      </w:r>
      <w:r>
        <w:rPr>
          <w:rFonts w:ascii="Arial Narrow" w:hAnsi="Arial Narrow"/>
        </w:rPr>
        <w:t>).</w:t>
      </w:r>
    </w:p>
    <w:p w:rsidR="003B486D" w:rsidRDefault="003B486D" w:rsidP="00BF42B9">
      <w:pPr>
        <w:rPr>
          <w:rFonts w:ascii="Calibri" w:hAnsi="Calibri"/>
          <w:b/>
          <w:bCs/>
          <w:sz w:val="20"/>
          <w:szCs w:val="20"/>
          <w:u w:val="single"/>
        </w:rPr>
      </w:pPr>
    </w:p>
    <w:p w:rsidR="00BF42B9" w:rsidRPr="00A323FD" w:rsidRDefault="00922AB5" w:rsidP="00BF42B9">
      <w:pPr>
        <w:rPr>
          <w:rFonts w:ascii="Calibri" w:hAnsi="Calibri"/>
          <w:b/>
          <w:bCs/>
          <w:sz w:val="20"/>
          <w:szCs w:val="20"/>
          <w:u w:val="single"/>
        </w:rPr>
      </w:pPr>
      <w:r w:rsidRPr="00A323FD">
        <w:rPr>
          <w:rFonts w:ascii="Calibri" w:hAnsi="Calibri"/>
          <w:b/>
          <w:bCs/>
          <w:sz w:val="20"/>
          <w:szCs w:val="20"/>
          <w:u w:val="single"/>
        </w:rPr>
        <w:t>ΓΡΑΦΗΜΑ</w:t>
      </w:r>
      <w:r w:rsidR="001D38C8">
        <w:rPr>
          <w:rFonts w:ascii="Calibri" w:hAnsi="Calibri"/>
          <w:b/>
          <w:bCs/>
          <w:sz w:val="20"/>
          <w:szCs w:val="20"/>
          <w:u w:val="single"/>
        </w:rPr>
        <w:t xml:space="preserve"> 17</w:t>
      </w:r>
      <w:r w:rsidR="00BF42B9" w:rsidRPr="00A323FD">
        <w:rPr>
          <w:rFonts w:ascii="Calibri" w:hAnsi="Calibri"/>
          <w:b/>
          <w:bCs/>
          <w:sz w:val="20"/>
          <w:szCs w:val="20"/>
          <w:u w:val="single"/>
        </w:rPr>
        <w:t xml:space="preserve">- </w:t>
      </w:r>
      <w:r w:rsidR="008136B7" w:rsidRPr="00A323FD">
        <w:rPr>
          <w:rFonts w:ascii="Calibri" w:hAnsi="Calibri"/>
          <w:b/>
          <w:bCs/>
          <w:sz w:val="20"/>
          <w:szCs w:val="20"/>
          <w:u w:val="single"/>
        </w:rPr>
        <w:t>ΗΛΕΚΤΡΟΝΙΚΕΣ ΣΥΝΑΛΛΑΓΕΣ</w:t>
      </w:r>
    </w:p>
    <w:p w:rsidR="00BF42B9" w:rsidRPr="00A323FD" w:rsidRDefault="00BF42B9" w:rsidP="00BF42B9">
      <w:pPr>
        <w:rPr>
          <w:rFonts w:ascii="Calibri" w:hAnsi="Calibri"/>
          <w:b/>
          <w:highlight w:val="yellow"/>
          <w:u w:val="single"/>
        </w:rPr>
      </w:pPr>
      <w:r w:rsidRPr="00A323FD">
        <w:rPr>
          <w:rFonts w:ascii="Calibri" w:hAnsi="Calibri"/>
          <w:b/>
          <w:bCs/>
          <w:sz w:val="20"/>
          <w:szCs w:val="20"/>
        </w:rPr>
        <w:t>Για τις συναλλαγές σας με πελάτες και προμηθευτές , η επιχείρησή σας διαθέτει;</w:t>
      </w:r>
    </w:p>
    <w:tbl>
      <w:tblPr>
        <w:tblStyle w:val="2-2"/>
        <w:tblW w:w="10314" w:type="dxa"/>
        <w:tblLayout w:type="fixed"/>
        <w:tblLook w:val="04A0" w:firstRow="1" w:lastRow="0" w:firstColumn="1" w:lastColumn="0" w:noHBand="0" w:noVBand="1"/>
      </w:tblPr>
      <w:tblGrid>
        <w:gridCol w:w="2575"/>
        <w:gridCol w:w="900"/>
        <w:gridCol w:w="1028"/>
        <w:gridCol w:w="1134"/>
        <w:gridCol w:w="708"/>
        <w:gridCol w:w="993"/>
        <w:gridCol w:w="850"/>
        <w:gridCol w:w="1134"/>
        <w:gridCol w:w="979"/>
        <w:gridCol w:w="13"/>
      </w:tblGrid>
      <w:tr w:rsidR="00D641F5" w:rsidTr="001C7C6B">
        <w:trPr>
          <w:gridAfter w:val="1"/>
          <w:cnfStyle w:val="100000000000" w:firstRow="1" w:lastRow="0" w:firstColumn="0" w:lastColumn="0" w:oddVBand="0" w:evenVBand="0" w:oddHBand="0" w:evenHBand="0" w:firstRowFirstColumn="0" w:firstRowLastColumn="0" w:lastRowFirstColumn="0" w:lastRowLastColumn="0"/>
          <w:wAfter w:w="13" w:type="dxa"/>
        </w:trPr>
        <w:tc>
          <w:tcPr>
            <w:cnfStyle w:val="001000000100" w:firstRow="0" w:lastRow="0" w:firstColumn="1" w:lastColumn="0" w:oddVBand="0" w:evenVBand="0" w:oddHBand="0" w:evenHBand="0" w:firstRowFirstColumn="1" w:firstRowLastColumn="0" w:lastRowFirstColumn="0" w:lastRowLastColumn="0"/>
            <w:tcW w:w="2575" w:type="dxa"/>
          </w:tcPr>
          <w:p w:rsidR="00D641F5" w:rsidRPr="008136B7" w:rsidRDefault="00D641F5" w:rsidP="00BF42B9">
            <w:pPr>
              <w:jc w:val="both"/>
              <w:rPr>
                <w:rFonts w:ascii="Arial Narrow" w:hAnsi="Arial Narrow"/>
                <w:b w:val="0"/>
                <w:u w:val="single"/>
              </w:rPr>
            </w:pPr>
          </w:p>
        </w:tc>
        <w:tc>
          <w:tcPr>
            <w:tcW w:w="1928" w:type="dxa"/>
            <w:gridSpan w:val="2"/>
          </w:tcPr>
          <w:p w:rsidR="00D641F5" w:rsidRPr="008136B7" w:rsidRDefault="00D641F5" w:rsidP="00BF42B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u w:val="single"/>
              </w:rPr>
            </w:pPr>
            <w:r w:rsidRPr="008136B7">
              <w:rPr>
                <w:rFonts w:ascii="Arial Narrow" w:hAnsi="Arial Narrow"/>
                <w:b w:val="0"/>
                <w:u w:val="single"/>
              </w:rPr>
              <w:t>ΙΟΥΛΙΟΣ 2015</w:t>
            </w:r>
          </w:p>
        </w:tc>
        <w:tc>
          <w:tcPr>
            <w:tcW w:w="1842" w:type="dxa"/>
            <w:gridSpan w:val="2"/>
          </w:tcPr>
          <w:p w:rsidR="00D641F5" w:rsidRPr="008136B7" w:rsidRDefault="00D641F5" w:rsidP="00BF42B9">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u w:val="single"/>
              </w:rPr>
            </w:pPr>
            <w:r w:rsidRPr="008136B7">
              <w:rPr>
                <w:rFonts w:ascii="Arial Narrow" w:hAnsi="Arial Narrow"/>
                <w:b w:val="0"/>
                <w:u w:val="single"/>
              </w:rPr>
              <w:t>ΦΕΒΡΟΥΑΡΙΟΣ 2016</w:t>
            </w:r>
          </w:p>
        </w:tc>
        <w:tc>
          <w:tcPr>
            <w:tcW w:w="1843" w:type="dxa"/>
            <w:gridSpan w:val="2"/>
          </w:tcPr>
          <w:p w:rsidR="00D641F5" w:rsidRPr="00922AB5" w:rsidRDefault="00D641F5" w:rsidP="00983A68">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u w:val="single"/>
              </w:rPr>
            </w:pPr>
            <w:r w:rsidRPr="008136B7">
              <w:rPr>
                <w:rFonts w:ascii="Arial Narrow" w:hAnsi="Arial Narrow"/>
                <w:b w:val="0"/>
                <w:u w:val="single"/>
              </w:rPr>
              <w:t>ΙΟΥΛΙΟΣ 201</w:t>
            </w:r>
            <w:r w:rsidRPr="00922AB5">
              <w:rPr>
                <w:rFonts w:ascii="Arial Narrow" w:hAnsi="Arial Narrow"/>
                <w:b w:val="0"/>
                <w:u w:val="single"/>
              </w:rPr>
              <w:t>6</w:t>
            </w:r>
          </w:p>
        </w:tc>
        <w:tc>
          <w:tcPr>
            <w:tcW w:w="2113" w:type="dxa"/>
            <w:gridSpan w:val="2"/>
          </w:tcPr>
          <w:p w:rsidR="00D641F5" w:rsidRPr="008136B7" w:rsidRDefault="00D641F5" w:rsidP="002A250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u w:val="single"/>
              </w:rPr>
            </w:pPr>
            <w:r>
              <w:rPr>
                <w:rFonts w:ascii="Arial Narrow" w:hAnsi="Arial Narrow"/>
                <w:b w:val="0"/>
                <w:u w:val="single"/>
              </w:rPr>
              <w:t>ΦΕΒΡΟΥΑΡΙΟΣ 2017</w:t>
            </w:r>
          </w:p>
        </w:tc>
      </w:tr>
      <w:tr w:rsidR="00D641F5" w:rsidTr="001C7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tcPr>
          <w:p w:rsidR="00D641F5" w:rsidRPr="00CF768B" w:rsidRDefault="00D641F5" w:rsidP="00BF42B9">
            <w:pPr>
              <w:jc w:val="both"/>
              <w:rPr>
                <w:rFonts w:ascii="Arial Narrow" w:hAnsi="Arial Narrow"/>
                <w:b w:val="0"/>
                <w:u w:val="single"/>
              </w:rPr>
            </w:pPr>
          </w:p>
        </w:tc>
        <w:tc>
          <w:tcPr>
            <w:tcW w:w="900" w:type="dxa"/>
          </w:tcPr>
          <w:p w:rsidR="00D641F5" w:rsidRPr="008136B7" w:rsidRDefault="00D641F5" w:rsidP="008136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u w:val="single"/>
              </w:rPr>
            </w:pPr>
            <w:r w:rsidRPr="008136B7">
              <w:rPr>
                <w:rFonts w:ascii="Arial Narrow" w:hAnsi="Arial Narrow"/>
                <w:b/>
                <w:u w:val="single"/>
              </w:rPr>
              <w:t>ΝΑΙ</w:t>
            </w:r>
          </w:p>
        </w:tc>
        <w:tc>
          <w:tcPr>
            <w:tcW w:w="1028" w:type="dxa"/>
          </w:tcPr>
          <w:p w:rsidR="00D641F5" w:rsidRPr="008136B7" w:rsidRDefault="00D641F5" w:rsidP="00BF42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u w:val="single"/>
              </w:rPr>
            </w:pPr>
            <w:r w:rsidRPr="008136B7">
              <w:rPr>
                <w:rFonts w:ascii="Arial Narrow" w:hAnsi="Arial Narrow"/>
                <w:b/>
                <w:u w:val="single"/>
              </w:rPr>
              <w:t>ΟΧΙ</w:t>
            </w:r>
          </w:p>
        </w:tc>
        <w:tc>
          <w:tcPr>
            <w:tcW w:w="1134" w:type="dxa"/>
          </w:tcPr>
          <w:p w:rsidR="00D641F5" w:rsidRPr="008136B7"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u w:val="single"/>
              </w:rPr>
            </w:pPr>
            <w:r w:rsidRPr="008136B7">
              <w:rPr>
                <w:rFonts w:ascii="Arial Narrow" w:hAnsi="Arial Narrow"/>
                <w:b/>
                <w:u w:val="single"/>
              </w:rPr>
              <w:t>ΝΑΙ</w:t>
            </w:r>
          </w:p>
        </w:tc>
        <w:tc>
          <w:tcPr>
            <w:tcW w:w="708" w:type="dxa"/>
          </w:tcPr>
          <w:p w:rsidR="00D641F5" w:rsidRPr="008136B7"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u w:val="single"/>
              </w:rPr>
            </w:pPr>
            <w:r w:rsidRPr="008136B7">
              <w:rPr>
                <w:rFonts w:ascii="Arial Narrow" w:hAnsi="Arial Narrow"/>
                <w:b/>
                <w:u w:val="single"/>
              </w:rPr>
              <w:t>ΟΧΙ</w:t>
            </w:r>
          </w:p>
        </w:tc>
        <w:tc>
          <w:tcPr>
            <w:tcW w:w="993" w:type="dxa"/>
          </w:tcPr>
          <w:p w:rsidR="00D641F5" w:rsidRPr="008136B7" w:rsidRDefault="00D641F5" w:rsidP="00BF42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u w:val="single"/>
              </w:rPr>
            </w:pPr>
            <w:r w:rsidRPr="008136B7">
              <w:rPr>
                <w:rFonts w:ascii="Arial Narrow" w:hAnsi="Arial Narrow"/>
                <w:b/>
                <w:u w:val="single"/>
              </w:rPr>
              <w:t>ΝΑΙ</w:t>
            </w:r>
          </w:p>
        </w:tc>
        <w:tc>
          <w:tcPr>
            <w:tcW w:w="850" w:type="dxa"/>
          </w:tcPr>
          <w:p w:rsidR="00D641F5" w:rsidRPr="008136B7" w:rsidRDefault="00D641F5" w:rsidP="00BF42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u w:val="single"/>
              </w:rPr>
            </w:pPr>
            <w:r w:rsidRPr="008136B7">
              <w:rPr>
                <w:rFonts w:ascii="Arial Narrow" w:hAnsi="Arial Narrow"/>
                <w:b/>
                <w:u w:val="single"/>
              </w:rPr>
              <w:t>ΟΧΙ</w:t>
            </w:r>
          </w:p>
        </w:tc>
        <w:tc>
          <w:tcPr>
            <w:tcW w:w="1134" w:type="dxa"/>
          </w:tcPr>
          <w:p w:rsidR="00D641F5" w:rsidRPr="008136B7" w:rsidRDefault="00D641F5"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u w:val="single"/>
              </w:rPr>
            </w:pPr>
            <w:r w:rsidRPr="008136B7">
              <w:rPr>
                <w:rFonts w:ascii="Arial Narrow" w:hAnsi="Arial Narrow"/>
                <w:b/>
                <w:u w:val="single"/>
              </w:rPr>
              <w:t>ΝΑΙ</w:t>
            </w:r>
          </w:p>
        </w:tc>
        <w:tc>
          <w:tcPr>
            <w:tcW w:w="992" w:type="dxa"/>
            <w:gridSpan w:val="2"/>
          </w:tcPr>
          <w:p w:rsidR="00D641F5" w:rsidRPr="008136B7" w:rsidRDefault="00D641F5"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u w:val="single"/>
              </w:rPr>
            </w:pPr>
            <w:r w:rsidRPr="008136B7">
              <w:rPr>
                <w:rFonts w:ascii="Arial Narrow" w:hAnsi="Arial Narrow"/>
                <w:b/>
                <w:u w:val="single"/>
              </w:rPr>
              <w:t>ΟΧΙ</w:t>
            </w:r>
          </w:p>
        </w:tc>
      </w:tr>
      <w:tr w:rsidR="00D641F5" w:rsidTr="001C7C6B">
        <w:tc>
          <w:tcPr>
            <w:cnfStyle w:val="001000000000" w:firstRow="0" w:lastRow="0" w:firstColumn="1" w:lastColumn="0" w:oddVBand="0" w:evenVBand="0" w:oddHBand="0" w:evenHBand="0" w:firstRowFirstColumn="0" w:firstRowLastColumn="0" w:lastRowFirstColumn="0" w:lastRowLastColumn="0"/>
            <w:tcW w:w="2575" w:type="dxa"/>
          </w:tcPr>
          <w:p w:rsidR="00D641F5" w:rsidRPr="008136B7" w:rsidRDefault="00D641F5" w:rsidP="00DF1121">
            <w:pPr>
              <w:jc w:val="both"/>
              <w:rPr>
                <w:rFonts w:ascii="Arial Narrow" w:hAnsi="Arial Narrow"/>
                <w:color w:val="auto"/>
                <w:u w:val="single"/>
                <w:lang w:val="en-US"/>
              </w:rPr>
            </w:pPr>
            <w:r w:rsidRPr="008136B7">
              <w:rPr>
                <w:rFonts w:ascii="Arial Narrow" w:hAnsi="Arial Narrow"/>
                <w:color w:val="auto"/>
                <w:u w:val="single"/>
              </w:rPr>
              <w:t>Ε-ΒΑΝΚΙΝ</w:t>
            </w:r>
            <w:r w:rsidRPr="008136B7">
              <w:rPr>
                <w:rFonts w:ascii="Arial Narrow" w:hAnsi="Arial Narrow"/>
                <w:color w:val="auto"/>
                <w:u w:val="single"/>
                <w:lang w:val="en-US"/>
              </w:rPr>
              <w:t>G</w:t>
            </w:r>
          </w:p>
        </w:tc>
        <w:tc>
          <w:tcPr>
            <w:tcW w:w="900" w:type="dxa"/>
            <w:tcBorders>
              <w:bottom w:val="nil"/>
            </w:tcBorders>
          </w:tcPr>
          <w:p w:rsidR="00D641F5" w:rsidRPr="00A6403A"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A6403A">
              <w:rPr>
                <w:rFonts w:ascii="Arial Narrow" w:hAnsi="Arial Narrow"/>
                <w:b/>
                <w:i/>
              </w:rPr>
              <w:t>48,5</w:t>
            </w:r>
          </w:p>
        </w:tc>
        <w:tc>
          <w:tcPr>
            <w:tcW w:w="1028" w:type="dxa"/>
            <w:tcBorders>
              <w:bottom w:val="nil"/>
            </w:tcBorders>
          </w:tcPr>
          <w:p w:rsidR="00D641F5" w:rsidRPr="00A6403A"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A6403A">
              <w:rPr>
                <w:rFonts w:ascii="Arial Narrow" w:hAnsi="Arial Narrow"/>
                <w:b/>
                <w:i/>
              </w:rPr>
              <w:t>51,4</w:t>
            </w:r>
          </w:p>
        </w:tc>
        <w:tc>
          <w:tcPr>
            <w:tcW w:w="1134" w:type="dxa"/>
            <w:tcBorders>
              <w:bottom w:val="nil"/>
            </w:tcBorders>
          </w:tcPr>
          <w:p w:rsidR="00D641F5" w:rsidRPr="00A6403A" w:rsidRDefault="00D641F5" w:rsidP="00983A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A6403A">
              <w:rPr>
                <w:rFonts w:ascii="Arial Narrow" w:hAnsi="Arial Narrow"/>
                <w:b/>
                <w:i/>
              </w:rPr>
              <w:t>61,2</w:t>
            </w:r>
          </w:p>
        </w:tc>
        <w:tc>
          <w:tcPr>
            <w:tcW w:w="708" w:type="dxa"/>
            <w:tcBorders>
              <w:bottom w:val="nil"/>
            </w:tcBorders>
          </w:tcPr>
          <w:p w:rsidR="00D641F5" w:rsidRPr="00A6403A" w:rsidRDefault="00D641F5" w:rsidP="00983A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A6403A">
              <w:rPr>
                <w:rFonts w:ascii="Arial Narrow" w:hAnsi="Arial Narrow"/>
                <w:b/>
                <w:i/>
              </w:rPr>
              <w:t>38,2</w:t>
            </w:r>
          </w:p>
        </w:tc>
        <w:tc>
          <w:tcPr>
            <w:tcW w:w="993" w:type="dxa"/>
            <w:tcBorders>
              <w:bottom w:val="nil"/>
            </w:tcBorders>
          </w:tcPr>
          <w:p w:rsidR="00D641F5" w:rsidRPr="00D462FF" w:rsidRDefault="00D641F5" w:rsidP="00BF42B9">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D462FF">
              <w:rPr>
                <w:rFonts w:ascii="Arial Narrow" w:hAnsi="Arial Narrow"/>
                <w:b/>
                <w:i/>
              </w:rPr>
              <w:t>66,4</w:t>
            </w:r>
          </w:p>
        </w:tc>
        <w:tc>
          <w:tcPr>
            <w:tcW w:w="850" w:type="dxa"/>
            <w:tcBorders>
              <w:bottom w:val="nil"/>
            </w:tcBorders>
          </w:tcPr>
          <w:p w:rsidR="00D641F5" w:rsidRPr="00D462FF" w:rsidRDefault="00D641F5" w:rsidP="00BF42B9">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D462FF">
              <w:rPr>
                <w:rFonts w:ascii="Arial Narrow" w:hAnsi="Arial Narrow"/>
                <w:b/>
                <w:i/>
              </w:rPr>
              <w:t>33,2</w:t>
            </w:r>
          </w:p>
        </w:tc>
        <w:tc>
          <w:tcPr>
            <w:tcW w:w="1134" w:type="dxa"/>
            <w:tcBorders>
              <w:bottom w:val="nil"/>
            </w:tcBorders>
          </w:tcPr>
          <w:p w:rsidR="00D641F5" w:rsidRPr="00B31DD0" w:rsidRDefault="00D462FF" w:rsidP="002A25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color w:val="FF0000"/>
              </w:rPr>
            </w:pPr>
            <w:r>
              <w:rPr>
                <w:rFonts w:ascii="Arial Narrow" w:hAnsi="Arial Narrow"/>
                <w:b/>
                <w:i/>
                <w:color w:val="FF0000"/>
              </w:rPr>
              <w:t>68,8</w:t>
            </w:r>
          </w:p>
        </w:tc>
        <w:tc>
          <w:tcPr>
            <w:tcW w:w="992" w:type="dxa"/>
            <w:gridSpan w:val="2"/>
            <w:tcBorders>
              <w:bottom w:val="nil"/>
            </w:tcBorders>
          </w:tcPr>
          <w:p w:rsidR="00D641F5" w:rsidRPr="00B31DD0" w:rsidRDefault="00D462FF" w:rsidP="002A25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color w:val="FF0000"/>
              </w:rPr>
            </w:pPr>
            <w:r>
              <w:rPr>
                <w:rFonts w:ascii="Arial Narrow" w:hAnsi="Arial Narrow"/>
                <w:b/>
                <w:i/>
                <w:color w:val="FF0000"/>
              </w:rPr>
              <w:t>30,2</w:t>
            </w:r>
          </w:p>
        </w:tc>
      </w:tr>
      <w:tr w:rsidR="001C7C6B" w:rsidTr="001C7C6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575" w:type="dxa"/>
            <w:vMerge w:val="restart"/>
            <w:tcBorders>
              <w:top w:val="nil"/>
            </w:tcBorders>
            <w:shd w:val="clear" w:color="auto" w:fill="D9D9D9" w:themeFill="background1" w:themeFillShade="D9"/>
          </w:tcPr>
          <w:p w:rsidR="00D641F5" w:rsidRPr="008136B7" w:rsidRDefault="00D641F5" w:rsidP="00BF42B9">
            <w:pPr>
              <w:jc w:val="right"/>
              <w:rPr>
                <w:rFonts w:ascii="Arial Narrow" w:hAnsi="Arial Narrow"/>
                <w:i/>
                <w:color w:val="auto"/>
                <w:sz w:val="18"/>
                <w:szCs w:val="18"/>
              </w:rPr>
            </w:pPr>
            <w:r w:rsidRPr="008136B7">
              <w:rPr>
                <w:rFonts w:ascii="Arial Narrow" w:hAnsi="Arial Narrow"/>
                <w:i/>
                <w:color w:val="auto"/>
                <w:sz w:val="18"/>
                <w:szCs w:val="18"/>
              </w:rPr>
              <w:t>Εμπόριο</w:t>
            </w:r>
          </w:p>
          <w:p w:rsidR="00D641F5" w:rsidRPr="008136B7" w:rsidRDefault="00D641F5" w:rsidP="00BF42B9">
            <w:pPr>
              <w:jc w:val="right"/>
              <w:rPr>
                <w:rFonts w:ascii="Arial Narrow" w:hAnsi="Arial Narrow"/>
                <w:i/>
                <w:color w:val="auto"/>
                <w:sz w:val="18"/>
                <w:szCs w:val="18"/>
              </w:rPr>
            </w:pPr>
            <w:r w:rsidRPr="008136B7">
              <w:rPr>
                <w:rFonts w:ascii="Arial Narrow" w:hAnsi="Arial Narrow"/>
                <w:i/>
                <w:color w:val="auto"/>
                <w:sz w:val="18"/>
                <w:szCs w:val="18"/>
              </w:rPr>
              <w:t>Μεταποίηση</w:t>
            </w:r>
          </w:p>
          <w:p w:rsidR="00D641F5" w:rsidRPr="008136B7" w:rsidRDefault="00D641F5" w:rsidP="00BF42B9">
            <w:pPr>
              <w:jc w:val="right"/>
              <w:rPr>
                <w:rFonts w:ascii="Arial Narrow" w:hAnsi="Arial Narrow"/>
                <w:b w:val="0"/>
                <w:color w:val="auto"/>
                <w:sz w:val="18"/>
                <w:szCs w:val="18"/>
                <w:u w:val="single"/>
              </w:rPr>
            </w:pPr>
            <w:r w:rsidRPr="008136B7">
              <w:rPr>
                <w:rFonts w:ascii="Arial Narrow" w:hAnsi="Arial Narrow"/>
                <w:i/>
                <w:color w:val="auto"/>
                <w:sz w:val="18"/>
                <w:szCs w:val="18"/>
              </w:rPr>
              <w:t>Υπηρεσίες</w:t>
            </w:r>
          </w:p>
        </w:tc>
        <w:tc>
          <w:tcPr>
            <w:tcW w:w="900" w:type="dxa"/>
            <w:tcBorders>
              <w:top w:val="nil"/>
              <w:bottom w:val="nil"/>
            </w:tcBorders>
          </w:tcPr>
          <w:p w:rsidR="00D641F5" w:rsidRPr="00A6403A"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46,7</w:t>
            </w:r>
          </w:p>
        </w:tc>
        <w:tc>
          <w:tcPr>
            <w:tcW w:w="1028" w:type="dxa"/>
            <w:tcBorders>
              <w:top w:val="nil"/>
              <w:bottom w:val="nil"/>
            </w:tcBorders>
          </w:tcPr>
          <w:p w:rsidR="00D641F5" w:rsidRPr="00A6403A"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53,3</w:t>
            </w:r>
          </w:p>
        </w:tc>
        <w:tc>
          <w:tcPr>
            <w:tcW w:w="1134" w:type="dxa"/>
            <w:tcBorders>
              <w:top w:val="nil"/>
              <w:bottom w:val="nil"/>
            </w:tcBorders>
          </w:tcPr>
          <w:p w:rsidR="00D641F5" w:rsidRPr="00A6403A"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64,3</w:t>
            </w:r>
          </w:p>
        </w:tc>
        <w:tc>
          <w:tcPr>
            <w:tcW w:w="708" w:type="dxa"/>
            <w:tcBorders>
              <w:top w:val="nil"/>
              <w:bottom w:val="nil"/>
            </w:tcBorders>
          </w:tcPr>
          <w:p w:rsidR="00D641F5" w:rsidRPr="00A6403A"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34,9</w:t>
            </w:r>
          </w:p>
        </w:tc>
        <w:tc>
          <w:tcPr>
            <w:tcW w:w="993" w:type="dxa"/>
            <w:tcBorders>
              <w:top w:val="nil"/>
              <w:bottom w:val="nil"/>
            </w:tcBorders>
          </w:tcPr>
          <w:p w:rsidR="00D641F5" w:rsidRPr="00D462FF" w:rsidRDefault="00D641F5" w:rsidP="008136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65,1</w:t>
            </w:r>
          </w:p>
        </w:tc>
        <w:tc>
          <w:tcPr>
            <w:tcW w:w="850" w:type="dxa"/>
            <w:tcBorders>
              <w:top w:val="nil"/>
              <w:bottom w:val="nil"/>
            </w:tcBorders>
          </w:tcPr>
          <w:p w:rsidR="00D641F5" w:rsidRPr="00D462FF"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34,7</w:t>
            </w:r>
          </w:p>
        </w:tc>
        <w:tc>
          <w:tcPr>
            <w:tcW w:w="1134" w:type="dxa"/>
            <w:tcBorders>
              <w:top w:val="nil"/>
              <w:bottom w:val="nil"/>
            </w:tcBorders>
          </w:tcPr>
          <w:p w:rsidR="00D641F5" w:rsidRPr="00B31DD0" w:rsidRDefault="00D462FF"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73,9</w:t>
            </w:r>
          </w:p>
        </w:tc>
        <w:tc>
          <w:tcPr>
            <w:tcW w:w="992" w:type="dxa"/>
            <w:gridSpan w:val="2"/>
            <w:tcBorders>
              <w:top w:val="nil"/>
              <w:bottom w:val="nil"/>
            </w:tcBorders>
            <w:shd w:val="pct15" w:color="auto" w:fill="auto"/>
          </w:tcPr>
          <w:p w:rsidR="00D641F5" w:rsidRPr="00B31DD0" w:rsidRDefault="00D462FF"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25,0</w:t>
            </w:r>
          </w:p>
        </w:tc>
      </w:tr>
      <w:tr w:rsidR="001C7C6B" w:rsidRPr="008136B7" w:rsidTr="001C7C6B">
        <w:trPr>
          <w:trHeight w:val="165"/>
        </w:trPr>
        <w:tc>
          <w:tcPr>
            <w:cnfStyle w:val="001000000000" w:firstRow="0" w:lastRow="0" w:firstColumn="1" w:lastColumn="0" w:oddVBand="0" w:evenVBand="0" w:oddHBand="0" w:evenHBand="0" w:firstRowFirstColumn="0" w:firstRowLastColumn="0" w:lastRowFirstColumn="0" w:lastRowLastColumn="0"/>
            <w:tcW w:w="2575" w:type="dxa"/>
            <w:vMerge/>
            <w:shd w:val="clear" w:color="auto" w:fill="D9D9D9" w:themeFill="background1" w:themeFillShade="D9"/>
          </w:tcPr>
          <w:p w:rsidR="00D641F5" w:rsidRPr="008136B7" w:rsidRDefault="00D641F5" w:rsidP="00BF42B9">
            <w:pPr>
              <w:jc w:val="right"/>
              <w:rPr>
                <w:rFonts w:ascii="Arial Narrow" w:hAnsi="Arial Narrow"/>
                <w:i/>
                <w:sz w:val="18"/>
                <w:szCs w:val="18"/>
              </w:rPr>
            </w:pPr>
          </w:p>
        </w:tc>
        <w:tc>
          <w:tcPr>
            <w:tcW w:w="900" w:type="dxa"/>
            <w:tcBorders>
              <w:top w:val="nil"/>
              <w:bottom w:val="nil"/>
            </w:tcBorders>
            <w:shd w:val="clear" w:color="auto" w:fill="D9D9D9" w:themeFill="background1" w:themeFillShade="D9"/>
          </w:tcPr>
          <w:p w:rsidR="00D641F5" w:rsidRPr="00A6403A"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62,7</w:t>
            </w:r>
          </w:p>
        </w:tc>
        <w:tc>
          <w:tcPr>
            <w:tcW w:w="1028" w:type="dxa"/>
            <w:tcBorders>
              <w:top w:val="nil"/>
              <w:bottom w:val="nil"/>
            </w:tcBorders>
            <w:shd w:val="clear" w:color="auto" w:fill="D9D9D9" w:themeFill="background1" w:themeFillShade="D9"/>
          </w:tcPr>
          <w:p w:rsidR="00D641F5" w:rsidRPr="00A6403A"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Pr>
                <w:rFonts w:ascii="Arial Narrow" w:hAnsi="Arial Narrow"/>
                <w:i/>
                <w:sz w:val="20"/>
                <w:szCs w:val="20"/>
              </w:rPr>
              <w:t>36</w:t>
            </w:r>
            <w:r w:rsidRPr="00A6403A">
              <w:rPr>
                <w:rFonts w:ascii="Arial Narrow" w:hAnsi="Arial Narrow"/>
                <w:i/>
                <w:sz w:val="20"/>
                <w:szCs w:val="20"/>
              </w:rPr>
              <w:t>,9</w:t>
            </w:r>
          </w:p>
        </w:tc>
        <w:tc>
          <w:tcPr>
            <w:tcW w:w="1134" w:type="dxa"/>
            <w:tcBorders>
              <w:top w:val="nil"/>
              <w:bottom w:val="nil"/>
            </w:tcBorders>
            <w:shd w:val="clear" w:color="auto" w:fill="D9D9D9" w:themeFill="background1" w:themeFillShade="D9"/>
          </w:tcPr>
          <w:p w:rsidR="00D641F5" w:rsidRPr="00A6403A" w:rsidRDefault="00D641F5" w:rsidP="00983A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68,9</w:t>
            </w:r>
          </w:p>
        </w:tc>
        <w:tc>
          <w:tcPr>
            <w:tcW w:w="708" w:type="dxa"/>
            <w:tcBorders>
              <w:top w:val="nil"/>
              <w:bottom w:val="nil"/>
            </w:tcBorders>
            <w:shd w:val="clear" w:color="auto" w:fill="D9D9D9" w:themeFill="background1" w:themeFillShade="D9"/>
          </w:tcPr>
          <w:p w:rsidR="00D641F5" w:rsidRPr="00A6403A" w:rsidRDefault="00D641F5" w:rsidP="00983A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30,3</w:t>
            </w:r>
          </w:p>
        </w:tc>
        <w:tc>
          <w:tcPr>
            <w:tcW w:w="993" w:type="dxa"/>
            <w:tcBorders>
              <w:top w:val="nil"/>
              <w:bottom w:val="nil"/>
            </w:tcBorders>
            <w:shd w:val="clear" w:color="auto" w:fill="D9D9D9" w:themeFill="background1" w:themeFillShade="D9"/>
          </w:tcPr>
          <w:p w:rsidR="00D641F5" w:rsidRPr="00D462FF" w:rsidRDefault="00D641F5" w:rsidP="008136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74,2</w:t>
            </w:r>
          </w:p>
        </w:tc>
        <w:tc>
          <w:tcPr>
            <w:tcW w:w="850" w:type="dxa"/>
            <w:tcBorders>
              <w:top w:val="nil"/>
              <w:bottom w:val="nil"/>
            </w:tcBorders>
            <w:shd w:val="clear" w:color="auto" w:fill="D9D9D9" w:themeFill="background1" w:themeFillShade="D9"/>
          </w:tcPr>
          <w:p w:rsidR="00D641F5" w:rsidRPr="00D462FF"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24,2</w:t>
            </w:r>
          </w:p>
        </w:tc>
        <w:tc>
          <w:tcPr>
            <w:tcW w:w="1134" w:type="dxa"/>
            <w:tcBorders>
              <w:top w:val="nil"/>
              <w:bottom w:val="nil"/>
            </w:tcBorders>
            <w:shd w:val="clear" w:color="auto" w:fill="D9D9D9" w:themeFill="background1" w:themeFillShade="D9"/>
          </w:tcPr>
          <w:p w:rsidR="00D641F5" w:rsidRPr="00B31DD0" w:rsidRDefault="00D462FF" w:rsidP="002A25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69,8</w:t>
            </w:r>
          </w:p>
        </w:tc>
        <w:tc>
          <w:tcPr>
            <w:tcW w:w="992" w:type="dxa"/>
            <w:gridSpan w:val="2"/>
            <w:tcBorders>
              <w:top w:val="nil"/>
              <w:bottom w:val="nil"/>
            </w:tcBorders>
            <w:shd w:val="pct15" w:color="auto" w:fill="auto"/>
          </w:tcPr>
          <w:p w:rsidR="00D641F5" w:rsidRPr="00B31DD0" w:rsidRDefault="00D462FF" w:rsidP="002A25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30,2</w:t>
            </w:r>
          </w:p>
        </w:tc>
      </w:tr>
      <w:tr w:rsidR="001C7C6B" w:rsidTr="001C7C6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75" w:type="dxa"/>
            <w:vMerge/>
            <w:shd w:val="clear" w:color="auto" w:fill="D9D9D9" w:themeFill="background1" w:themeFillShade="D9"/>
          </w:tcPr>
          <w:p w:rsidR="00D641F5" w:rsidRPr="008136B7" w:rsidRDefault="00D641F5" w:rsidP="00BF42B9">
            <w:pPr>
              <w:jc w:val="right"/>
              <w:rPr>
                <w:rFonts w:ascii="Arial Narrow" w:hAnsi="Arial Narrow"/>
                <w:i/>
                <w:sz w:val="18"/>
                <w:szCs w:val="18"/>
              </w:rPr>
            </w:pPr>
          </w:p>
        </w:tc>
        <w:tc>
          <w:tcPr>
            <w:tcW w:w="900" w:type="dxa"/>
            <w:tcBorders>
              <w:top w:val="nil"/>
              <w:bottom w:val="nil"/>
            </w:tcBorders>
          </w:tcPr>
          <w:p w:rsidR="00D641F5" w:rsidRPr="00A6403A"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41,5</w:t>
            </w:r>
          </w:p>
        </w:tc>
        <w:tc>
          <w:tcPr>
            <w:tcW w:w="1028" w:type="dxa"/>
            <w:tcBorders>
              <w:top w:val="nil"/>
              <w:bottom w:val="nil"/>
            </w:tcBorders>
          </w:tcPr>
          <w:p w:rsidR="00D641F5" w:rsidRPr="00A6403A"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58,5</w:t>
            </w:r>
          </w:p>
        </w:tc>
        <w:tc>
          <w:tcPr>
            <w:tcW w:w="1134" w:type="dxa"/>
            <w:tcBorders>
              <w:top w:val="nil"/>
              <w:bottom w:val="nil"/>
            </w:tcBorders>
          </w:tcPr>
          <w:p w:rsidR="00D641F5" w:rsidRPr="00A6403A"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53,4</w:t>
            </w:r>
          </w:p>
        </w:tc>
        <w:tc>
          <w:tcPr>
            <w:tcW w:w="708" w:type="dxa"/>
            <w:tcBorders>
              <w:top w:val="nil"/>
              <w:bottom w:val="nil"/>
            </w:tcBorders>
          </w:tcPr>
          <w:p w:rsidR="00D641F5" w:rsidRPr="00A6403A"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46,4</w:t>
            </w:r>
          </w:p>
        </w:tc>
        <w:tc>
          <w:tcPr>
            <w:tcW w:w="993" w:type="dxa"/>
            <w:tcBorders>
              <w:top w:val="nil"/>
              <w:bottom w:val="nil"/>
            </w:tcBorders>
          </w:tcPr>
          <w:p w:rsidR="00D641F5" w:rsidRPr="00D462FF" w:rsidRDefault="00D641F5" w:rsidP="008136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62,8</w:t>
            </w:r>
          </w:p>
        </w:tc>
        <w:tc>
          <w:tcPr>
            <w:tcW w:w="850" w:type="dxa"/>
            <w:tcBorders>
              <w:top w:val="nil"/>
              <w:bottom w:val="nil"/>
            </w:tcBorders>
          </w:tcPr>
          <w:p w:rsidR="00D641F5" w:rsidRPr="00D462FF"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1,6</w:t>
            </w:r>
          </w:p>
        </w:tc>
        <w:tc>
          <w:tcPr>
            <w:tcW w:w="1134" w:type="dxa"/>
            <w:tcBorders>
              <w:top w:val="nil"/>
              <w:bottom w:val="nil"/>
            </w:tcBorders>
          </w:tcPr>
          <w:p w:rsidR="00D641F5" w:rsidRPr="00B31DD0" w:rsidRDefault="00D462FF"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63,2</w:t>
            </w:r>
          </w:p>
        </w:tc>
        <w:tc>
          <w:tcPr>
            <w:tcW w:w="992" w:type="dxa"/>
            <w:gridSpan w:val="2"/>
            <w:tcBorders>
              <w:top w:val="nil"/>
              <w:bottom w:val="nil"/>
            </w:tcBorders>
            <w:shd w:val="pct15" w:color="auto" w:fill="auto"/>
          </w:tcPr>
          <w:p w:rsidR="00D641F5" w:rsidRPr="00B31DD0" w:rsidRDefault="00D462FF"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35,2</w:t>
            </w:r>
          </w:p>
        </w:tc>
      </w:tr>
      <w:tr w:rsidR="001C7C6B" w:rsidTr="001C7C6B">
        <w:tc>
          <w:tcPr>
            <w:cnfStyle w:val="001000000000" w:firstRow="0" w:lastRow="0" w:firstColumn="1" w:lastColumn="0" w:oddVBand="0" w:evenVBand="0" w:oddHBand="0" w:evenHBand="0" w:firstRowFirstColumn="0" w:firstRowLastColumn="0" w:lastRowFirstColumn="0" w:lastRowLastColumn="0"/>
            <w:tcW w:w="2575" w:type="dxa"/>
          </w:tcPr>
          <w:p w:rsidR="00D641F5" w:rsidRPr="008136B7" w:rsidRDefault="00D641F5" w:rsidP="00BF42B9">
            <w:pPr>
              <w:jc w:val="both"/>
              <w:rPr>
                <w:rFonts w:ascii="Arial Narrow" w:hAnsi="Arial Narrow"/>
                <w:color w:val="auto"/>
                <w:u w:val="single"/>
                <w:lang w:val="en-US"/>
              </w:rPr>
            </w:pPr>
            <w:r w:rsidRPr="008136B7">
              <w:rPr>
                <w:rFonts w:ascii="Arial Narrow" w:hAnsi="Arial Narrow"/>
                <w:color w:val="auto"/>
                <w:u w:val="single"/>
              </w:rPr>
              <w:t xml:space="preserve">ΤΕΡΜΑΤΙΚΟ </w:t>
            </w:r>
            <w:r w:rsidRPr="008136B7">
              <w:rPr>
                <w:rFonts w:ascii="Arial Narrow" w:hAnsi="Arial Narrow"/>
                <w:color w:val="auto"/>
                <w:u w:val="single"/>
                <w:lang w:val="en-US"/>
              </w:rPr>
              <w:t>POS</w:t>
            </w:r>
          </w:p>
        </w:tc>
        <w:tc>
          <w:tcPr>
            <w:tcW w:w="900" w:type="dxa"/>
            <w:tcBorders>
              <w:top w:val="nil"/>
              <w:bottom w:val="nil"/>
            </w:tcBorders>
          </w:tcPr>
          <w:p w:rsidR="00D641F5" w:rsidRPr="00CF768B"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CF768B">
              <w:rPr>
                <w:rFonts w:ascii="Arial Narrow" w:hAnsi="Arial Narrow"/>
                <w:b/>
                <w:i/>
              </w:rPr>
              <w:t>28,1</w:t>
            </w:r>
          </w:p>
        </w:tc>
        <w:tc>
          <w:tcPr>
            <w:tcW w:w="1028" w:type="dxa"/>
            <w:tcBorders>
              <w:top w:val="nil"/>
              <w:bottom w:val="nil"/>
            </w:tcBorders>
          </w:tcPr>
          <w:p w:rsidR="00D641F5" w:rsidRPr="00CF768B"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CF768B">
              <w:rPr>
                <w:rFonts w:ascii="Arial Narrow" w:hAnsi="Arial Narrow"/>
                <w:b/>
                <w:i/>
              </w:rPr>
              <w:t>71,7</w:t>
            </w:r>
          </w:p>
        </w:tc>
        <w:tc>
          <w:tcPr>
            <w:tcW w:w="1134" w:type="dxa"/>
            <w:tcBorders>
              <w:top w:val="nil"/>
              <w:bottom w:val="nil"/>
            </w:tcBorders>
          </w:tcPr>
          <w:p w:rsidR="00D641F5" w:rsidRPr="00A6403A" w:rsidRDefault="00D641F5" w:rsidP="00983A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A6403A">
              <w:rPr>
                <w:rFonts w:ascii="Arial Narrow" w:hAnsi="Arial Narrow"/>
                <w:b/>
                <w:i/>
              </w:rPr>
              <w:t>39,9</w:t>
            </w:r>
          </w:p>
        </w:tc>
        <w:tc>
          <w:tcPr>
            <w:tcW w:w="708" w:type="dxa"/>
            <w:tcBorders>
              <w:top w:val="nil"/>
              <w:bottom w:val="nil"/>
            </w:tcBorders>
          </w:tcPr>
          <w:p w:rsidR="00D641F5" w:rsidRPr="00A6403A" w:rsidRDefault="00D641F5" w:rsidP="00983A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A6403A">
              <w:rPr>
                <w:rFonts w:ascii="Arial Narrow" w:hAnsi="Arial Narrow"/>
                <w:b/>
                <w:i/>
              </w:rPr>
              <w:t>59,9</w:t>
            </w:r>
          </w:p>
        </w:tc>
        <w:tc>
          <w:tcPr>
            <w:tcW w:w="993" w:type="dxa"/>
            <w:tcBorders>
              <w:top w:val="nil"/>
              <w:bottom w:val="nil"/>
            </w:tcBorders>
          </w:tcPr>
          <w:p w:rsidR="00D641F5" w:rsidRPr="00D462FF"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D462FF">
              <w:rPr>
                <w:rFonts w:ascii="Arial Narrow" w:hAnsi="Arial Narrow"/>
                <w:b/>
                <w:i/>
              </w:rPr>
              <w:t>49,0</w:t>
            </w:r>
          </w:p>
        </w:tc>
        <w:tc>
          <w:tcPr>
            <w:tcW w:w="850" w:type="dxa"/>
            <w:tcBorders>
              <w:top w:val="nil"/>
              <w:bottom w:val="nil"/>
            </w:tcBorders>
          </w:tcPr>
          <w:p w:rsidR="00D641F5" w:rsidRPr="00D462FF"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rPr>
            </w:pPr>
            <w:r w:rsidRPr="00D462FF">
              <w:rPr>
                <w:rFonts w:ascii="Arial Narrow" w:hAnsi="Arial Narrow"/>
                <w:b/>
                <w:i/>
              </w:rPr>
              <w:t>50,6</w:t>
            </w:r>
          </w:p>
        </w:tc>
        <w:tc>
          <w:tcPr>
            <w:tcW w:w="1134" w:type="dxa"/>
            <w:tcBorders>
              <w:top w:val="nil"/>
              <w:bottom w:val="nil"/>
            </w:tcBorders>
          </w:tcPr>
          <w:p w:rsidR="00D641F5" w:rsidRPr="00B31DD0" w:rsidRDefault="00D462FF" w:rsidP="002A25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color w:val="FF0000"/>
              </w:rPr>
            </w:pPr>
            <w:r>
              <w:rPr>
                <w:rFonts w:ascii="Arial Narrow" w:hAnsi="Arial Narrow"/>
                <w:b/>
                <w:i/>
                <w:color w:val="FF0000"/>
              </w:rPr>
              <w:t>52,4</w:t>
            </w:r>
          </w:p>
        </w:tc>
        <w:tc>
          <w:tcPr>
            <w:tcW w:w="992" w:type="dxa"/>
            <w:gridSpan w:val="2"/>
            <w:tcBorders>
              <w:top w:val="nil"/>
              <w:bottom w:val="nil"/>
            </w:tcBorders>
          </w:tcPr>
          <w:p w:rsidR="00D641F5" w:rsidRPr="00D462FF" w:rsidRDefault="00D462FF" w:rsidP="002A25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i/>
                <w:color w:val="FF0000"/>
              </w:rPr>
            </w:pPr>
            <w:r w:rsidRPr="00D462FF">
              <w:rPr>
                <w:rFonts w:ascii="Arial Narrow" w:hAnsi="Arial Narrow"/>
                <w:b/>
                <w:i/>
                <w:color w:val="FF0000"/>
              </w:rPr>
              <w:t>47,5</w:t>
            </w:r>
          </w:p>
        </w:tc>
      </w:tr>
      <w:tr w:rsidR="001C7C6B" w:rsidTr="001C7C6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75" w:type="dxa"/>
            <w:vMerge w:val="restart"/>
            <w:tcBorders>
              <w:top w:val="nil"/>
            </w:tcBorders>
            <w:shd w:val="clear" w:color="auto" w:fill="D9D9D9" w:themeFill="background1" w:themeFillShade="D9"/>
          </w:tcPr>
          <w:p w:rsidR="00D641F5" w:rsidRPr="008136B7" w:rsidRDefault="00D641F5" w:rsidP="00BF42B9">
            <w:pPr>
              <w:jc w:val="right"/>
              <w:rPr>
                <w:rFonts w:ascii="Arial Narrow" w:hAnsi="Arial Narrow"/>
                <w:i/>
                <w:color w:val="auto"/>
                <w:sz w:val="18"/>
                <w:szCs w:val="18"/>
              </w:rPr>
            </w:pPr>
            <w:r w:rsidRPr="008136B7">
              <w:rPr>
                <w:rFonts w:ascii="Arial Narrow" w:hAnsi="Arial Narrow"/>
                <w:i/>
                <w:color w:val="auto"/>
                <w:sz w:val="18"/>
                <w:szCs w:val="18"/>
              </w:rPr>
              <w:t>Εμπόριο</w:t>
            </w:r>
          </w:p>
          <w:p w:rsidR="00D641F5" w:rsidRPr="008136B7" w:rsidRDefault="00D641F5" w:rsidP="00BF42B9">
            <w:pPr>
              <w:jc w:val="right"/>
              <w:rPr>
                <w:rFonts w:ascii="Arial Narrow" w:hAnsi="Arial Narrow"/>
                <w:i/>
                <w:color w:val="auto"/>
                <w:sz w:val="18"/>
                <w:szCs w:val="18"/>
              </w:rPr>
            </w:pPr>
            <w:r w:rsidRPr="008136B7">
              <w:rPr>
                <w:rFonts w:ascii="Arial Narrow" w:hAnsi="Arial Narrow"/>
                <w:i/>
                <w:color w:val="auto"/>
                <w:sz w:val="18"/>
                <w:szCs w:val="18"/>
              </w:rPr>
              <w:t>Μεταποίηση</w:t>
            </w:r>
          </w:p>
          <w:p w:rsidR="00D641F5" w:rsidRPr="008136B7" w:rsidRDefault="00D641F5" w:rsidP="00BF42B9">
            <w:pPr>
              <w:jc w:val="right"/>
              <w:rPr>
                <w:rFonts w:ascii="Arial Narrow" w:hAnsi="Arial Narrow"/>
                <w:i/>
                <w:color w:val="auto"/>
                <w:sz w:val="18"/>
                <w:szCs w:val="18"/>
              </w:rPr>
            </w:pPr>
            <w:r w:rsidRPr="008136B7">
              <w:rPr>
                <w:rFonts w:ascii="Arial Narrow" w:hAnsi="Arial Narrow"/>
                <w:i/>
                <w:color w:val="auto"/>
                <w:sz w:val="18"/>
                <w:szCs w:val="18"/>
              </w:rPr>
              <w:t>Υπηρεσίες</w:t>
            </w:r>
          </w:p>
        </w:tc>
        <w:tc>
          <w:tcPr>
            <w:tcW w:w="900" w:type="dxa"/>
            <w:tcBorders>
              <w:top w:val="nil"/>
              <w:bottom w:val="nil"/>
            </w:tcBorders>
            <w:vAlign w:val="bottom"/>
          </w:tcPr>
          <w:p w:rsidR="00D641F5" w:rsidRPr="00CF768B" w:rsidRDefault="00D641F5" w:rsidP="00CF768B">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CF768B">
              <w:rPr>
                <w:rFonts w:ascii="Arial Narrow" w:hAnsi="Arial Narrow"/>
                <w:i/>
                <w:sz w:val="20"/>
                <w:szCs w:val="20"/>
              </w:rPr>
              <w:t>37,7</w:t>
            </w:r>
          </w:p>
        </w:tc>
        <w:tc>
          <w:tcPr>
            <w:tcW w:w="1028" w:type="dxa"/>
            <w:tcBorders>
              <w:top w:val="nil"/>
              <w:bottom w:val="nil"/>
            </w:tcBorders>
            <w:vAlign w:val="bottom"/>
          </w:tcPr>
          <w:p w:rsidR="00D641F5" w:rsidRPr="00CF768B" w:rsidRDefault="00D641F5" w:rsidP="00CF768B">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CF768B">
              <w:rPr>
                <w:rFonts w:ascii="Arial Narrow" w:hAnsi="Arial Narrow"/>
                <w:i/>
                <w:sz w:val="20"/>
                <w:szCs w:val="20"/>
              </w:rPr>
              <w:t>62,1</w:t>
            </w:r>
          </w:p>
        </w:tc>
        <w:tc>
          <w:tcPr>
            <w:tcW w:w="1134" w:type="dxa"/>
            <w:tcBorders>
              <w:top w:val="nil"/>
              <w:bottom w:val="nil"/>
            </w:tcBorders>
            <w:vAlign w:val="bottom"/>
          </w:tcPr>
          <w:p w:rsidR="00D641F5" w:rsidRPr="00A6403A"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59,0</w:t>
            </w:r>
          </w:p>
        </w:tc>
        <w:tc>
          <w:tcPr>
            <w:tcW w:w="708" w:type="dxa"/>
            <w:tcBorders>
              <w:top w:val="nil"/>
              <w:bottom w:val="nil"/>
            </w:tcBorders>
          </w:tcPr>
          <w:p w:rsidR="00D641F5" w:rsidRPr="00A6403A"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40,7</w:t>
            </w:r>
          </w:p>
        </w:tc>
        <w:tc>
          <w:tcPr>
            <w:tcW w:w="993" w:type="dxa"/>
            <w:tcBorders>
              <w:top w:val="nil"/>
              <w:bottom w:val="nil"/>
            </w:tcBorders>
            <w:vAlign w:val="bottom"/>
          </w:tcPr>
          <w:p w:rsidR="00D641F5" w:rsidRPr="00D462FF"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65,5</w:t>
            </w:r>
          </w:p>
        </w:tc>
        <w:tc>
          <w:tcPr>
            <w:tcW w:w="850" w:type="dxa"/>
            <w:tcBorders>
              <w:top w:val="nil"/>
              <w:bottom w:val="nil"/>
            </w:tcBorders>
          </w:tcPr>
          <w:p w:rsidR="00D641F5" w:rsidRPr="00D462FF"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34,4</w:t>
            </w:r>
          </w:p>
        </w:tc>
        <w:tc>
          <w:tcPr>
            <w:tcW w:w="1134" w:type="dxa"/>
            <w:tcBorders>
              <w:top w:val="nil"/>
              <w:bottom w:val="nil"/>
            </w:tcBorders>
            <w:vAlign w:val="bottom"/>
          </w:tcPr>
          <w:p w:rsidR="00D641F5" w:rsidRPr="00B31DD0" w:rsidRDefault="00D462FF"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69,7</w:t>
            </w:r>
          </w:p>
        </w:tc>
        <w:tc>
          <w:tcPr>
            <w:tcW w:w="992" w:type="dxa"/>
            <w:gridSpan w:val="2"/>
            <w:tcBorders>
              <w:top w:val="nil"/>
              <w:bottom w:val="nil"/>
            </w:tcBorders>
            <w:shd w:val="pct15" w:color="auto" w:fill="auto"/>
          </w:tcPr>
          <w:p w:rsidR="00D641F5" w:rsidRPr="00B31DD0" w:rsidRDefault="00D462FF"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30,3</w:t>
            </w:r>
          </w:p>
        </w:tc>
      </w:tr>
      <w:tr w:rsidR="001C7C6B" w:rsidTr="001C7C6B">
        <w:trPr>
          <w:trHeight w:val="150"/>
        </w:trPr>
        <w:tc>
          <w:tcPr>
            <w:cnfStyle w:val="001000000000" w:firstRow="0" w:lastRow="0" w:firstColumn="1" w:lastColumn="0" w:oddVBand="0" w:evenVBand="0" w:oddHBand="0" w:evenHBand="0" w:firstRowFirstColumn="0" w:firstRowLastColumn="0" w:lastRowFirstColumn="0" w:lastRowLastColumn="0"/>
            <w:tcW w:w="2575" w:type="dxa"/>
            <w:vMerge/>
            <w:tcBorders>
              <w:top w:val="nil"/>
            </w:tcBorders>
            <w:shd w:val="clear" w:color="auto" w:fill="D9D9D9" w:themeFill="background1" w:themeFillShade="D9"/>
          </w:tcPr>
          <w:p w:rsidR="00D641F5" w:rsidRPr="008136B7" w:rsidRDefault="00D641F5" w:rsidP="00BF42B9">
            <w:pPr>
              <w:jc w:val="right"/>
              <w:rPr>
                <w:rFonts w:ascii="Arial Narrow" w:hAnsi="Arial Narrow"/>
                <w:i/>
                <w:sz w:val="18"/>
                <w:szCs w:val="18"/>
              </w:rPr>
            </w:pPr>
          </w:p>
        </w:tc>
        <w:tc>
          <w:tcPr>
            <w:tcW w:w="900" w:type="dxa"/>
            <w:tcBorders>
              <w:top w:val="nil"/>
              <w:bottom w:val="nil"/>
            </w:tcBorders>
            <w:shd w:val="clear" w:color="auto" w:fill="D9D9D9" w:themeFill="background1" w:themeFillShade="D9"/>
          </w:tcPr>
          <w:p w:rsidR="00D641F5" w:rsidRPr="00CF768B" w:rsidRDefault="00D641F5" w:rsidP="00CF768B">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CF768B">
              <w:rPr>
                <w:rFonts w:ascii="Arial Narrow" w:hAnsi="Arial Narrow"/>
                <w:i/>
                <w:sz w:val="20"/>
                <w:szCs w:val="20"/>
              </w:rPr>
              <w:t>12,9</w:t>
            </w:r>
          </w:p>
        </w:tc>
        <w:tc>
          <w:tcPr>
            <w:tcW w:w="1028" w:type="dxa"/>
            <w:tcBorders>
              <w:top w:val="nil"/>
              <w:bottom w:val="nil"/>
            </w:tcBorders>
            <w:shd w:val="clear" w:color="auto" w:fill="D9D9D9" w:themeFill="background1" w:themeFillShade="D9"/>
          </w:tcPr>
          <w:p w:rsidR="00D641F5" w:rsidRPr="00CF768B" w:rsidRDefault="00D641F5" w:rsidP="00CF768B">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CF768B">
              <w:rPr>
                <w:rFonts w:ascii="Arial Narrow" w:hAnsi="Arial Narrow"/>
                <w:i/>
                <w:sz w:val="20"/>
                <w:szCs w:val="20"/>
              </w:rPr>
              <w:t>87,1</w:t>
            </w:r>
          </w:p>
        </w:tc>
        <w:tc>
          <w:tcPr>
            <w:tcW w:w="1134" w:type="dxa"/>
            <w:tcBorders>
              <w:top w:val="nil"/>
              <w:bottom w:val="nil"/>
            </w:tcBorders>
            <w:shd w:val="clear" w:color="auto" w:fill="D9D9D9" w:themeFill="background1" w:themeFillShade="D9"/>
          </w:tcPr>
          <w:p w:rsidR="00D641F5" w:rsidRPr="00A6403A" w:rsidRDefault="00D641F5" w:rsidP="00983A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19,9</w:t>
            </w:r>
          </w:p>
        </w:tc>
        <w:tc>
          <w:tcPr>
            <w:tcW w:w="708" w:type="dxa"/>
            <w:tcBorders>
              <w:top w:val="nil"/>
              <w:bottom w:val="nil"/>
            </w:tcBorders>
            <w:shd w:val="clear" w:color="auto" w:fill="D9D9D9" w:themeFill="background1" w:themeFillShade="D9"/>
          </w:tcPr>
          <w:p w:rsidR="00D641F5" w:rsidRPr="00A6403A" w:rsidRDefault="00D641F5" w:rsidP="00983A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79,7</w:t>
            </w:r>
          </w:p>
        </w:tc>
        <w:tc>
          <w:tcPr>
            <w:tcW w:w="993" w:type="dxa"/>
            <w:tcBorders>
              <w:top w:val="nil"/>
              <w:bottom w:val="nil"/>
            </w:tcBorders>
            <w:shd w:val="clear" w:color="auto" w:fill="D9D9D9" w:themeFill="background1" w:themeFillShade="D9"/>
          </w:tcPr>
          <w:p w:rsidR="00D641F5" w:rsidRPr="00D462FF"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28,7</w:t>
            </w:r>
          </w:p>
        </w:tc>
        <w:tc>
          <w:tcPr>
            <w:tcW w:w="850" w:type="dxa"/>
            <w:tcBorders>
              <w:top w:val="nil"/>
              <w:bottom w:val="nil"/>
            </w:tcBorders>
            <w:shd w:val="clear" w:color="auto" w:fill="D9D9D9" w:themeFill="background1" w:themeFillShade="D9"/>
          </w:tcPr>
          <w:p w:rsidR="00D641F5" w:rsidRPr="00D462FF" w:rsidRDefault="00D641F5" w:rsidP="00A6403A">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70,1</w:t>
            </w:r>
          </w:p>
        </w:tc>
        <w:tc>
          <w:tcPr>
            <w:tcW w:w="1134" w:type="dxa"/>
            <w:tcBorders>
              <w:top w:val="nil"/>
              <w:bottom w:val="nil"/>
            </w:tcBorders>
            <w:shd w:val="clear" w:color="auto" w:fill="D9D9D9" w:themeFill="background1" w:themeFillShade="D9"/>
          </w:tcPr>
          <w:p w:rsidR="00D641F5" w:rsidRPr="00B31DD0" w:rsidRDefault="00D462FF" w:rsidP="002A25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32,2</w:t>
            </w:r>
          </w:p>
        </w:tc>
        <w:tc>
          <w:tcPr>
            <w:tcW w:w="992" w:type="dxa"/>
            <w:gridSpan w:val="2"/>
            <w:tcBorders>
              <w:top w:val="nil"/>
              <w:bottom w:val="nil"/>
            </w:tcBorders>
            <w:shd w:val="pct15" w:color="auto" w:fill="auto"/>
          </w:tcPr>
          <w:p w:rsidR="00D641F5" w:rsidRPr="00B31DD0" w:rsidRDefault="00D462FF" w:rsidP="002A25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67,8</w:t>
            </w:r>
          </w:p>
        </w:tc>
      </w:tr>
      <w:tr w:rsidR="001C7C6B" w:rsidTr="001C7C6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575" w:type="dxa"/>
            <w:vMerge/>
            <w:tcBorders>
              <w:top w:val="nil"/>
            </w:tcBorders>
            <w:shd w:val="clear" w:color="auto" w:fill="D9D9D9" w:themeFill="background1" w:themeFillShade="D9"/>
          </w:tcPr>
          <w:p w:rsidR="00D641F5" w:rsidRPr="008136B7" w:rsidRDefault="00D641F5" w:rsidP="00BF42B9">
            <w:pPr>
              <w:jc w:val="right"/>
              <w:rPr>
                <w:rFonts w:ascii="Arial Narrow" w:hAnsi="Arial Narrow"/>
                <w:i/>
                <w:sz w:val="18"/>
                <w:szCs w:val="18"/>
              </w:rPr>
            </w:pPr>
          </w:p>
        </w:tc>
        <w:tc>
          <w:tcPr>
            <w:tcW w:w="900" w:type="dxa"/>
            <w:tcBorders>
              <w:top w:val="nil"/>
              <w:bottom w:val="single" w:sz="18" w:space="0" w:color="auto"/>
            </w:tcBorders>
          </w:tcPr>
          <w:p w:rsidR="00D641F5" w:rsidRPr="00CF768B" w:rsidRDefault="00D641F5" w:rsidP="00CF768B">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CF768B">
              <w:rPr>
                <w:rFonts w:ascii="Arial Narrow" w:hAnsi="Arial Narrow"/>
                <w:i/>
                <w:sz w:val="20"/>
                <w:szCs w:val="20"/>
              </w:rPr>
              <w:t>28,2</w:t>
            </w:r>
          </w:p>
        </w:tc>
        <w:tc>
          <w:tcPr>
            <w:tcW w:w="1028" w:type="dxa"/>
            <w:tcBorders>
              <w:top w:val="nil"/>
              <w:bottom w:val="single" w:sz="18" w:space="0" w:color="auto"/>
            </w:tcBorders>
          </w:tcPr>
          <w:p w:rsidR="00D641F5" w:rsidRPr="00CF768B" w:rsidRDefault="00D641F5" w:rsidP="00CF768B">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CF768B">
              <w:rPr>
                <w:rFonts w:ascii="Arial Narrow" w:hAnsi="Arial Narrow"/>
                <w:i/>
                <w:sz w:val="20"/>
                <w:szCs w:val="20"/>
              </w:rPr>
              <w:t>71,6</w:t>
            </w:r>
          </w:p>
        </w:tc>
        <w:tc>
          <w:tcPr>
            <w:tcW w:w="1134" w:type="dxa"/>
            <w:tcBorders>
              <w:top w:val="nil"/>
              <w:bottom w:val="single" w:sz="18" w:space="0" w:color="auto"/>
            </w:tcBorders>
            <w:vAlign w:val="bottom"/>
          </w:tcPr>
          <w:p w:rsidR="00D641F5" w:rsidRPr="00A6403A"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33,8</w:t>
            </w:r>
          </w:p>
        </w:tc>
        <w:tc>
          <w:tcPr>
            <w:tcW w:w="708" w:type="dxa"/>
            <w:tcBorders>
              <w:top w:val="nil"/>
              <w:bottom w:val="single" w:sz="18" w:space="0" w:color="auto"/>
            </w:tcBorders>
          </w:tcPr>
          <w:p w:rsidR="00D641F5" w:rsidRPr="00A6403A" w:rsidRDefault="00D641F5" w:rsidP="00983A68">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A6403A">
              <w:rPr>
                <w:rFonts w:ascii="Arial Narrow" w:hAnsi="Arial Narrow"/>
                <w:i/>
                <w:sz w:val="20"/>
                <w:szCs w:val="20"/>
              </w:rPr>
              <w:t>66,2</w:t>
            </w:r>
          </w:p>
        </w:tc>
        <w:tc>
          <w:tcPr>
            <w:tcW w:w="993" w:type="dxa"/>
            <w:tcBorders>
              <w:top w:val="nil"/>
              <w:bottom w:val="single" w:sz="18" w:space="0" w:color="auto"/>
            </w:tcBorders>
            <w:vAlign w:val="bottom"/>
          </w:tcPr>
          <w:p w:rsidR="00D641F5" w:rsidRPr="00D462FF"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45,0</w:t>
            </w:r>
          </w:p>
        </w:tc>
        <w:tc>
          <w:tcPr>
            <w:tcW w:w="850" w:type="dxa"/>
            <w:tcBorders>
              <w:top w:val="nil"/>
              <w:bottom w:val="single" w:sz="18" w:space="0" w:color="auto"/>
            </w:tcBorders>
          </w:tcPr>
          <w:p w:rsidR="00D641F5" w:rsidRPr="00D462FF" w:rsidRDefault="00D641F5" w:rsidP="00A6403A">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0"/>
                <w:szCs w:val="20"/>
              </w:rPr>
            </w:pPr>
            <w:r w:rsidRPr="00D462FF">
              <w:rPr>
                <w:rFonts w:ascii="Arial Narrow" w:hAnsi="Arial Narrow"/>
                <w:i/>
                <w:sz w:val="20"/>
                <w:szCs w:val="20"/>
              </w:rPr>
              <w:t>55,5</w:t>
            </w:r>
          </w:p>
        </w:tc>
        <w:tc>
          <w:tcPr>
            <w:tcW w:w="1134" w:type="dxa"/>
            <w:tcBorders>
              <w:top w:val="nil"/>
              <w:bottom w:val="single" w:sz="18" w:space="0" w:color="auto"/>
            </w:tcBorders>
            <w:vAlign w:val="bottom"/>
          </w:tcPr>
          <w:p w:rsidR="00D641F5" w:rsidRPr="00B31DD0" w:rsidRDefault="00D462FF"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48,3</w:t>
            </w:r>
          </w:p>
        </w:tc>
        <w:tc>
          <w:tcPr>
            <w:tcW w:w="992" w:type="dxa"/>
            <w:gridSpan w:val="2"/>
            <w:tcBorders>
              <w:top w:val="nil"/>
              <w:bottom w:val="single" w:sz="18" w:space="0" w:color="auto"/>
            </w:tcBorders>
            <w:shd w:val="pct15" w:color="auto" w:fill="auto"/>
          </w:tcPr>
          <w:p w:rsidR="00D641F5" w:rsidRPr="00B31DD0" w:rsidRDefault="00D462FF" w:rsidP="002A25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FF0000"/>
                <w:sz w:val="20"/>
                <w:szCs w:val="20"/>
              </w:rPr>
            </w:pPr>
            <w:r>
              <w:rPr>
                <w:rFonts w:ascii="Arial Narrow" w:hAnsi="Arial Narrow"/>
                <w:i/>
                <w:color w:val="FF0000"/>
                <w:sz w:val="20"/>
                <w:szCs w:val="20"/>
              </w:rPr>
              <w:t>51,4</w:t>
            </w:r>
          </w:p>
        </w:tc>
      </w:tr>
    </w:tbl>
    <w:p w:rsidR="00295E51" w:rsidRPr="00295E51" w:rsidRDefault="00295E51" w:rsidP="00295E51">
      <w:pPr>
        <w:jc w:val="both"/>
        <w:rPr>
          <w:rFonts w:ascii="Arial Narrow" w:hAnsi="Arial Narrow"/>
        </w:rPr>
      </w:pPr>
    </w:p>
    <w:p w:rsidR="00B35EFC" w:rsidRDefault="00922AB5" w:rsidP="003B486D">
      <w:pPr>
        <w:pStyle w:val="aa"/>
        <w:numPr>
          <w:ilvl w:val="0"/>
          <w:numId w:val="27"/>
        </w:numPr>
        <w:ind w:left="426" w:hanging="426"/>
        <w:jc w:val="both"/>
        <w:rPr>
          <w:rFonts w:ascii="Arial Narrow" w:hAnsi="Arial Narrow"/>
        </w:rPr>
      </w:pPr>
      <w:r w:rsidRPr="00922AB5">
        <w:rPr>
          <w:rFonts w:ascii="Arial Narrow" w:hAnsi="Arial Narrow"/>
        </w:rPr>
        <w:t xml:space="preserve">Οι </w:t>
      </w:r>
      <w:r w:rsidRPr="00490064">
        <w:rPr>
          <w:rFonts w:ascii="Arial Narrow" w:hAnsi="Arial Narrow"/>
          <w:b/>
        </w:rPr>
        <w:t>παράγοντες που οδήγησαν σε αυτή την ανασχετική τάση σχετίζονται ασφαλώς με την έλλειψη ενός πλαισίου προστασίας της επιχείρησης από κατασχέσεις/ δεσμεύσεις λογαριασμών,  η καθυστέρηση στην εφαρμογή του ακατάσχετου επαγγελματικού λογαριασμού</w:t>
      </w:r>
      <w:r w:rsidRPr="00922AB5">
        <w:rPr>
          <w:rFonts w:ascii="Arial Narrow" w:hAnsi="Arial Narrow"/>
        </w:rPr>
        <w:t xml:space="preserve">, το έλλειμμα στο θεσμικό πλαίσιο για το ηλεκτρονικό εμπόριο και τις πλατφόρμες συναλλαγών, το υψηλό διοικητικό κόστος από την εισαγωγή συστημάτων ηλεκτρονικής τιμολόγησης, τα αυξημένα κόστη τραπεζικών προμηθειών. </w:t>
      </w:r>
    </w:p>
    <w:p w:rsidR="003B486D" w:rsidRPr="003B486D" w:rsidRDefault="003B486D" w:rsidP="003B486D">
      <w:pPr>
        <w:pStyle w:val="aa"/>
        <w:ind w:left="426"/>
        <w:jc w:val="both"/>
        <w:rPr>
          <w:rFonts w:ascii="Arial Narrow" w:hAnsi="Arial Narrow"/>
        </w:rPr>
      </w:pPr>
    </w:p>
    <w:tbl>
      <w:tblPr>
        <w:tblStyle w:val="-5"/>
        <w:tblpPr w:leftFromText="180" w:rightFromText="180" w:vertAnchor="text" w:horzAnchor="margin" w:tblpY="385"/>
        <w:tblW w:w="9574" w:type="dxa"/>
        <w:tblLook w:val="04A0" w:firstRow="1" w:lastRow="0" w:firstColumn="1" w:lastColumn="0" w:noHBand="0" w:noVBand="1"/>
      </w:tblPr>
      <w:tblGrid>
        <w:gridCol w:w="1043"/>
        <w:gridCol w:w="861"/>
        <w:gridCol w:w="861"/>
        <w:gridCol w:w="861"/>
        <w:gridCol w:w="861"/>
        <w:gridCol w:w="861"/>
        <w:gridCol w:w="896"/>
        <w:gridCol w:w="861"/>
        <w:gridCol w:w="861"/>
        <w:gridCol w:w="861"/>
        <w:gridCol w:w="977"/>
      </w:tblGrid>
      <w:tr w:rsidR="001B0CAE" w:rsidRPr="000072E5" w:rsidTr="003B486D">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574" w:type="dxa"/>
            <w:gridSpan w:val="11"/>
            <w:hideMark/>
          </w:tcPr>
          <w:p w:rsidR="001B0CAE" w:rsidRPr="000072E5" w:rsidRDefault="001B0CAE" w:rsidP="001B0CAE">
            <w:pPr>
              <w:jc w:val="center"/>
              <w:rPr>
                <w:rFonts w:ascii="Tahoma" w:hAnsi="Tahoma" w:cs="Tahoma"/>
                <w:color w:val="000000"/>
                <w:sz w:val="18"/>
                <w:szCs w:val="18"/>
              </w:rPr>
            </w:pPr>
            <w:r w:rsidRPr="000072E5">
              <w:rPr>
                <w:rFonts w:ascii="Tahoma" w:hAnsi="Tahoma" w:cs="Tahoma"/>
                <w:color w:val="000000"/>
                <w:sz w:val="18"/>
                <w:szCs w:val="18"/>
              </w:rPr>
              <w:t>Χρήση τερματικών αποδοχής συναλλαγών καρτών (POS)</w:t>
            </w:r>
          </w:p>
        </w:tc>
      </w:tr>
      <w:tr w:rsidR="001B0CAE" w:rsidRPr="000072E5" w:rsidTr="003B486D">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043" w:type="dxa"/>
            <w:noWrap/>
            <w:hideMark/>
          </w:tcPr>
          <w:p w:rsidR="001B0CAE" w:rsidRPr="000072E5" w:rsidRDefault="001B0CAE" w:rsidP="001B0CAE">
            <w:pPr>
              <w:rPr>
                <w:rFonts w:ascii="Tahoma" w:hAnsi="Tahoma" w:cs="Tahoma"/>
                <w:color w:val="000000"/>
                <w:sz w:val="22"/>
                <w:szCs w:val="22"/>
              </w:rPr>
            </w:pPr>
          </w:p>
        </w:tc>
        <w:tc>
          <w:tcPr>
            <w:tcW w:w="832" w:type="dxa"/>
            <w:noWrap/>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2009</w:t>
            </w:r>
          </w:p>
        </w:tc>
        <w:tc>
          <w:tcPr>
            <w:tcW w:w="832" w:type="dxa"/>
            <w:noWrap/>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2010</w:t>
            </w:r>
          </w:p>
        </w:tc>
        <w:tc>
          <w:tcPr>
            <w:tcW w:w="832" w:type="dxa"/>
            <w:noWrap/>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2011</w:t>
            </w:r>
          </w:p>
        </w:tc>
        <w:tc>
          <w:tcPr>
            <w:tcW w:w="832" w:type="dxa"/>
            <w:noWrap/>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2012</w:t>
            </w:r>
          </w:p>
        </w:tc>
        <w:tc>
          <w:tcPr>
            <w:tcW w:w="832" w:type="dxa"/>
            <w:noWrap/>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2013</w:t>
            </w:r>
          </w:p>
        </w:tc>
        <w:tc>
          <w:tcPr>
            <w:tcW w:w="896" w:type="dxa"/>
            <w:noWrap/>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2014</w:t>
            </w:r>
          </w:p>
        </w:tc>
        <w:tc>
          <w:tcPr>
            <w:tcW w:w="832" w:type="dxa"/>
            <w:noWrap/>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2015</w:t>
            </w:r>
          </w:p>
        </w:tc>
        <w:tc>
          <w:tcPr>
            <w:tcW w:w="832" w:type="dxa"/>
            <w:noWrap/>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2016</w:t>
            </w:r>
          </w:p>
        </w:tc>
        <w:tc>
          <w:tcPr>
            <w:tcW w:w="832" w:type="dxa"/>
            <w:noWrap/>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2017</w:t>
            </w:r>
          </w:p>
        </w:tc>
        <w:tc>
          <w:tcPr>
            <w:tcW w:w="977" w:type="dxa"/>
            <w:hideMark/>
          </w:tcPr>
          <w:p w:rsidR="001B0CAE" w:rsidRPr="000072E5" w:rsidRDefault="001B0CAE" w:rsidP="001B0CA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r w:rsidRPr="000072E5">
              <w:rPr>
                <w:rFonts w:ascii="Tahoma" w:hAnsi="Tahoma" w:cs="Tahoma"/>
                <w:b/>
                <w:color w:val="FF0000"/>
                <w:sz w:val="18"/>
                <w:szCs w:val="18"/>
              </w:rPr>
              <w:t>Δ 2015-2016</w:t>
            </w:r>
          </w:p>
        </w:tc>
      </w:tr>
      <w:tr w:rsidR="001B0CAE" w:rsidRPr="000072E5" w:rsidTr="003B486D">
        <w:trPr>
          <w:trHeight w:val="180"/>
        </w:trPr>
        <w:tc>
          <w:tcPr>
            <w:cnfStyle w:val="001000000000" w:firstRow="0" w:lastRow="0" w:firstColumn="1" w:lastColumn="0" w:oddVBand="0" w:evenVBand="0" w:oddHBand="0" w:evenHBand="0" w:firstRowFirstColumn="0" w:firstRowLastColumn="0" w:lastRowFirstColumn="0" w:lastRowLastColumn="0"/>
            <w:tcW w:w="1043" w:type="dxa"/>
            <w:noWrap/>
            <w:hideMark/>
          </w:tcPr>
          <w:p w:rsidR="001B0CAE" w:rsidRPr="00922AB5" w:rsidRDefault="001B0CAE" w:rsidP="001B0CAE">
            <w:pPr>
              <w:rPr>
                <w:rFonts w:ascii="Tahoma" w:hAnsi="Tahoma" w:cs="Tahoma"/>
                <w:color w:val="000000"/>
                <w:sz w:val="18"/>
                <w:szCs w:val="18"/>
              </w:rPr>
            </w:pPr>
            <w:r w:rsidRPr="00922AB5">
              <w:rPr>
                <w:rFonts w:ascii="Tahoma" w:hAnsi="Tahoma" w:cs="Tahoma"/>
                <w:color w:val="000000"/>
                <w:sz w:val="18"/>
                <w:szCs w:val="18"/>
              </w:rPr>
              <w:t>Αριθμός  POS</w:t>
            </w:r>
          </w:p>
        </w:tc>
        <w:tc>
          <w:tcPr>
            <w:tcW w:w="832"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426.500</w:t>
            </w:r>
          </w:p>
        </w:tc>
        <w:tc>
          <w:tcPr>
            <w:tcW w:w="832"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412.900</w:t>
            </w:r>
          </w:p>
        </w:tc>
        <w:tc>
          <w:tcPr>
            <w:tcW w:w="832"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361.870</w:t>
            </w:r>
          </w:p>
        </w:tc>
        <w:tc>
          <w:tcPr>
            <w:tcW w:w="832"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321.190</w:t>
            </w:r>
          </w:p>
        </w:tc>
        <w:tc>
          <w:tcPr>
            <w:tcW w:w="832"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279.160</w:t>
            </w:r>
          </w:p>
        </w:tc>
        <w:tc>
          <w:tcPr>
            <w:tcW w:w="896"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194.800</w:t>
            </w:r>
          </w:p>
        </w:tc>
        <w:tc>
          <w:tcPr>
            <w:tcW w:w="832"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219.070</w:t>
            </w:r>
          </w:p>
        </w:tc>
        <w:tc>
          <w:tcPr>
            <w:tcW w:w="832"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320.000</w:t>
            </w:r>
          </w:p>
        </w:tc>
        <w:tc>
          <w:tcPr>
            <w:tcW w:w="832"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8"/>
                <w:szCs w:val="18"/>
              </w:rPr>
            </w:pPr>
            <w:r w:rsidRPr="000072E5">
              <w:rPr>
                <w:rFonts w:ascii="Tahoma" w:hAnsi="Tahoma" w:cs="Tahoma"/>
                <w:color w:val="000000"/>
                <w:sz w:val="18"/>
                <w:szCs w:val="18"/>
              </w:rPr>
              <w:t>410.000</w:t>
            </w:r>
          </w:p>
        </w:tc>
        <w:tc>
          <w:tcPr>
            <w:tcW w:w="977" w:type="dxa"/>
            <w:noWrap/>
            <w:hideMark/>
          </w:tcPr>
          <w:p w:rsidR="001B0CAE" w:rsidRPr="000072E5" w:rsidRDefault="001B0CAE" w:rsidP="001B0CA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18"/>
                <w:szCs w:val="18"/>
              </w:rPr>
            </w:pPr>
            <w:r w:rsidRPr="000072E5">
              <w:rPr>
                <w:rFonts w:ascii="Tahoma" w:hAnsi="Tahoma" w:cs="Tahoma"/>
                <w:b/>
                <w:color w:val="FF0000"/>
                <w:sz w:val="18"/>
                <w:szCs w:val="18"/>
              </w:rPr>
              <w:t>46%</w:t>
            </w:r>
          </w:p>
        </w:tc>
      </w:tr>
      <w:tr w:rsidR="001B0CAE" w:rsidRPr="000072E5" w:rsidTr="003B486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74" w:type="dxa"/>
            <w:gridSpan w:val="11"/>
            <w:hideMark/>
          </w:tcPr>
          <w:p w:rsidR="001B0CAE" w:rsidRPr="000072E5" w:rsidRDefault="001B0CAE" w:rsidP="001B0CAE">
            <w:pPr>
              <w:rPr>
                <w:rFonts w:ascii="Tahoma" w:hAnsi="Tahoma" w:cs="Tahoma"/>
                <w:i/>
                <w:iCs/>
                <w:color w:val="000000"/>
                <w:sz w:val="18"/>
                <w:szCs w:val="18"/>
              </w:rPr>
            </w:pPr>
            <w:r w:rsidRPr="000072E5">
              <w:rPr>
                <w:rFonts w:ascii="Tahoma" w:hAnsi="Tahoma" w:cs="Tahoma"/>
                <w:i/>
                <w:iCs/>
                <w:color w:val="000000"/>
                <w:sz w:val="18"/>
                <w:szCs w:val="18"/>
              </w:rPr>
              <w:t>Πηγή: Ένωση Ελληνικών Τραπεζών, Στοιχεία τεκμηρίωσης σχετικά με τη λειτουργία του ελληνικού τραπεζικού συστήματος, Αθήνα 2017  (σελ. 5)</w:t>
            </w:r>
          </w:p>
        </w:tc>
      </w:tr>
    </w:tbl>
    <w:p w:rsidR="000072E5" w:rsidRPr="00A323FD" w:rsidRDefault="001D38C8" w:rsidP="00B35EFC">
      <w:pPr>
        <w:rPr>
          <w:rFonts w:ascii="Calibri" w:hAnsi="Calibri"/>
          <w:b/>
          <w:bCs/>
          <w:sz w:val="20"/>
          <w:szCs w:val="20"/>
          <w:u w:val="single"/>
        </w:rPr>
      </w:pPr>
      <w:r>
        <w:rPr>
          <w:rFonts w:ascii="Calibri" w:hAnsi="Calibri"/>
          <w:b/>
          <w:bCs/>
          <w:sz w:val="20"/>
          <w:szCs w:val="20"/>
          <w:u w:val="single"/>
        </w:rPr>
        <w:t>ΓΡΑΦΗΜΑ 18</w:t>
      </w:r>
      <w:r w:rsidR="00B35EFC" w:rsidRPr="00A323FD">
        <w:rPr>
          <w:rFonts w:ascii="Calibri" w:hAnsi="Calibri"/>
          <w:b/>
          <w:bCs/>
          <w:sz w:val="20"/>
          <w:szCs w:val="20"/>
          <w:u w:val="single"/>
        </w:rPr>
        <w:t xml:space="preserve">- ΑΡΙΘΜΟΣ ΤΕΡΜΑΤΙΚΩΝ </w:t>
      </w:r>
      <w:r w:rsidR="00B35EFC" w:rsidRPr="00A323FD">
        <w:rPr>
          <w:rFonts w:ascii="Calibri" w:hAnsi="Calibri"/>
          <w:b/>
          <w:bCs/>
          <w:sz w:val="20"/>
          <w:szCs w:val="20"/>
          <w:u w:val="single"/>
          <w:lang w:val="en-US"/>
        </w:rPr>
        <w:t>POS</w:t>
      </w:r>
      <w:r w:rsidR="00B35EFC" w:rsidRPr="00A323FD">
        <w:rPr>
          <w:rFonts w:ascii="Calibri" w:hAnsi="Calibri"/>
          <w:b/>
          <w:bCs/>
          <w:sz w:val="20"/>
          <w:szCs w:val="20"/>
          <w:u w:val="single"/>
        </w:rPr>
        <w:t xml:space="preserve"> (πηγή:</w:t>
      </w:r>
      <w:r w:rsidR="00E90781">
        <w:rPr>
          <w:rFonts w:ascii="Calibri" w:hAnsi="Calibri"/>
          <w:b/>
          <w:bCs/>
          <w:sz w:val="20"/>
          <w:szCs w:val="20"/>
          <w:u w:val="single"/>
        </w:rPr>
        <w:t xml:space="preserve"> </w:t>
      </w:r>
      <w:proofErr w:type="spellStart"/>
      <w:r w:rsidR="00B35EFC" w:rsidRPr="00A323FD">
        <w:rPr>
          <w:rFonts w:ascii="Calibri" w:hAnsi="Calibri"/>
          <w:b/>
          <w:bCs/>
          <w:sz w:val="20"/>
          <w:szCs w:val="20"/>
          <w:u w:val="single"/>
        </w:rPr>
        <w:t>ΤτΕ</w:t>
      </w:r>
      <w:proofErr w:type="spellEnd"/>
      <w:r w:rsidR="00B35EFC" w:rsidRPr="00A323FD">
        <w:rPr>
          <w:rFonts w:ascii="Calibri" w:hAnsi="Calibri"/>
          <w:b/>
          <w:bCs/>
          <w:sz w:val="20"/>
          <w:szCs w:val="20"/>
          <w:u w:val="single"/>
        </w:rPr>
        <w:t>, Ελληνική Ένωση Τραπεζών)</w:t>
      </w:r>
    </w:p>
    <w:p w:rsidR="00E90781" w:rsidRDefault="00E90781" w:rsidP="00E347CD">
      <w:pPr>
        <w:jc w:val="both"/>
        <w:rPr>
          <w:rFonts w:ascii="Arial Narrow" w:hAnsi="Arial Narrow"/>
        </w:rPr>
      </w:pPr>
    </w:p>
    <w:p w:rsidR="00E90781" w:rsidRDefault="00E90781" w:rsidP="00E347CD">
      <w:pPr>
        <w:jc w:val="both"/>
        <w:rPr>
          <w:rFonts w:ascii="Arial Narrow" w:hAnsi="Arial Narrow"/>
        </w:rPr>
      </w:pPr>
      <w:r w:rsidRPr="00652671">
        <w:rPr>
          <w:rFonts w:ascii="Tahoma" w:hAnsi="Tahoma" w:cs="Tahoma"/>
          <w:noProof/>
        </w:rPr>
        <w:drawing>
          <wp:inline distT="0" distB="0" distL="0" distR="0" wp14:anchorId="676A3452" wp14:editId="70661E54">
            <wp:extent cx="4467225" cy="1800225"/>
            <wp:effectExtent l="0" t="0" r="9525" b="9525"/>
            <wp:docPr id="27"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90781" w:rsidRPr="00E347CD" w:rsidRDefault="00E90781" w:rsidP="00E347CD">
      <w:pPr>
        <w:jc w:val="both"/>
        <w:rPr>
          <w:rFonts w:ascii="Arial Narrow" w:hAnsi="Arial Narrow"/>
        </w:rPr>
      </w:pPr>
    </w:p>
    <w:p w:rsidR="00331FFB" w:rsidRDefault="00331FFB" w:rsidP="007516BA">
      <w:pPr>
        <w:pStyle w:val="aa"/>
        <w:numPr>
          <w:ilvl w:val="0"/>
          <w:numId w:val="39"/>
        </w:numPr>
        <w:ind w:left="426" w:hanging="426"/>
        <w:rPr>
          <w:rFonts w:ascii="Arial Narrow" w:hAnsi="Arial Narrow"/>
        </w:rPr>
      </w:pPr>
      <w:r w:rsidRPr="00331FFB">
        <w:rPr>
          <w:rFonts w:ascii="Arial Narrow" w:hAnsi="Arial Narrow"/>
        </w:rPr>
        <w:t>Οι υψηλές χρεώσεις των τραπεζών</w:t>
      </w:r>
      <w:r w:rsidR="001D38C8">
        <w:rPr>
          <w:rFonts w:ascii="Arial Narrow" w:hAnsi="Arial Narrow"/>
        </w:rPr>
        <w:t xml:space="preserve"> (γράφημα 19</w:t>
      </w:r>
      <w:r w:rsidR="00EE5E7D">
        <w:rPr>
          <w:rFonts w:ascii="Arial Narrow" w:hAnsi="Arial Narrow"/>
        </w:rPr>
        <w:t>)</w:t>
      </w:r>
      <w:r w:rsidRPr="00331FFB">
        <w:rPr>
          <w:rFonts w:ascii="Arial Narrow" w:hAnsi="Arial Narrow"/>
        </w:rPr>
        <w:t xml:space="preserve"> δρουν ανασταλτικά ως προς την εγκατάσταση τερματικών μηχανών στην επιχείρηση</w:t>
      </w:r>
      <w:r w:rsidRPr="00490064">
        <w:rPr>
          <w:rFonts w:ascii="Arial Narrow" w:hAnsi="Arial Narrow"/>
          <w:b/>
        </w:rPr>
        <w:t>. Πάνω από το 50% των επιχειρήσεων τιμολογείται για τη χρήση τερματικού με ποσοστό άνω του 1% επί του τζίρου, ενώ το 27% πληρώνει περισσότερο από 1,5% του τζίρου.</w:t>
      </w:r>
      <w:r w:rsidRPr="00331FFB">
        <w:rPr>
          <w:rFonts w:ascii="Arial Narrow" w:hAnsi="Arial Narrow"/>
        </w:rPr>
        <w:t xml:space="preserve"> Συνολικά, ο μέσος όρος συναλλαγών με τερματικό POS ανέρχεται στο 33% του συνολικού κύκλου εργασιών.</w:t>
      </w:r>
    </w:p>
    <w:p w:rsidR="00295E51" w:rsidRDefault="00295E51" w:rsidP="0059229F">
      <w:pPr>
        <w:rPr>
          <w:rFonts w:ascii="Arial Narrow" w:hAnsi="Arial Narrow"/>
          <w:b/>
          <w:bCs/>
          <w:sz w:val="20"/>
          <w:szCs w:val="20"/>
          <w:u w:val="single"/>
        </w:rPr>
      </w:pPr>
    </w:p>
    <w:p w:rsidR="0059229F" w:rsidRPr="007516BA" w:rsidRDefault="00B35EFC" w:rsidP="0059229F">
      <w:pPr>
        <w:rPr>
          <w:rFonts w:ascii="Calibri" w:hAnsi="Calibri"/>
          <w:b/>
          <w:bCs/>
          <w:sz w:val="20"/>
          <w:szCs w:val="20"/>
          <w:u w:val="single"/>
        </w:rPr>
      </w:pPr>
      <w:r w:rsidRPr="007516BA">
        <w:rPr>
          <w:rFonts w:ascii="Calibri" w:hAnsi="Calibri"/>
          <w:b/>
          <w:bCs/>
          <w:sz w:val="20"/>
          <w:szCs w:val="20"/>
          <w:u w:val="single"/>
        </w:rPr>
        <w:lastRenderedPageBreak/>
        <w:t xml:space="preserve">ΓΡΑΦΗΜΑ </w:t>
      </w:r>
      <w:r w:rsidR="001D38C8">
        <w:rPr>
          <w:rFonts w:ascii="Calibri" w:hAnsi="Calibri"/>
          <w:b/>
          <w:bCs/>
          <w:sz w:val="20"/>
          <w:szCs w:val="20"/>
          <w:u w:val="single"/>
        </w:rPr>
        <w:t>19</w:t>
      </w:r>
      <w:r w:rsidR="009660EF" w:rsidRPr="007516BA">
        <w:rPr>
          <w:rFonts w:ascii="Calibri" w:hAnsi="Calibri"/>
          <w:b/>
          <w:bCs/>
          <w:sz w:val="20"/>
          <w:szCs w:val="20"/>
          <w:u w:val="single"/>
        </w:rPr>
        <w:t>- ΧΡΕΩΣΕΙΣ ΤΡΑΠΕΖΙΚΩΝ ΣΥΝΑΛΛΑΓΩΝ</w:t>
      </w:r>
      <w:r w:rsidR="0059229F" w:rsidRPr="007516BA">
        <w:rPr>
          <w:rFonts w:ascii="Calibri" w:hAnsi="Calibri"/>
          <w:b/>
          <w:bCs/>
          <w:sz w:val="20"/>
          <w:szCs w:val="20"/>
          <w:u w:val="single"/>
        </w:rPr>
        <w:t xml:space="preserve"> </w:t>
      </w:r>
    </w:p>
    <w:p w:rsidR="00C26F7C" w:rsidRPr="007516BA" w:rsidRDefault="00B538CB" w:rsidP="0059229F">
      <w:pPr>
        <w:jc w:val="both"/>
        <w:rPr>
          <w:rFonts w:ascii="Calibri" w:hAnsi="Calibri"/>
          <w:b/>
          <w:bCs/>
          <w:sz w:val="20"/>
          <w:szCs w:val="20"/>
          <w:lang w:val="en-US"/>
        </w:rPr>
      </w:pPr>
      <w:r w:rsidRPr="007516BA">
        <w:rPr>
          <w:rFonts w:ascii="Calibri" w:hAnsi="Calibri"/>
          <w:b/>
          <w:bCs/>
          <w:sz w:val="20"/>
          <w:szCs w:val="20"/>
        </w:rPr>
        <w:t>Γνωρίζετε ποιο είναι το ποσοστό χρέωσης ανά συναλλαγή επί του τζίρου που επιβάλλει η τράπεζα;</w:t>
      </w:r>
      <w:r w:rsidRPr="007516BA">
        <w:rPr>
          <w:rFonts w:ascii="Calibri" w:hAnsi="Calibri"/>
          <w:b/>
          <w:bCs/>
          <w:sz w:val="20"/>
          <w:szCs w:val="20"/>
        </w:rPr>
        <w:br/>
        <w:t>ΒΑΣΗ: Όσοι έχουν μηχάνημα για συναλλαγές με κάρτα.</w:t>
      </w:r>
    </w:p>
    <w:p w:rsidR="00D462FF" w:rsidRPr="00AF5BF5" w:rsidRDefault="00D462FF" w:rsidP="0059229F">
      <w:pPr>
        <w:jc w:val="both"/>
        <w:rPr>
          <w:rFonts w:ascii="Arial Narrow" w:hAnsi="Arial Narrow"/>
          <w:b/>
          <w:noProof/>
          <w:u w:val="single"/>
        </w:rPr>
      </w:pPr>
      <w:r w:rsidRPr="00D462FF">
        <w:rPr>
          <w:rFonts w:ascii="Arial Narrow" w:hAnsi="Arial Narrow"/>
          <w:b/>
          <w:noProof/>
        </w:rPr>
        <w:drawing>
          <wp:inline distT="0" distB="0" distL="0" distR="0" wp14:anchorId="1DD28EF3" wp14:editId="31C2C4FD">
            <wp:extent cx="4676775" cy="2152650"/>
            <wp:effectExtent l="0" t="0" r="9525" b="19050"/>
            <wp:docPr id="23"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5E51" w:rsidRDefault="00295E51" w:rsidP="007516BA">
      <w:pPr>
        <w:jc w:val="both"/>
        <w:rPr>
          <w:rFonts w:ascii="Arial Narrow" w:hAnsi="Arial Narrow"/>
          <w:b/>
          <w:u w:val="single"/>
        </w:rPr>
      </w:pPr>
    </w:p>
    <w:p w:rsidR="001B0CAE" w:rsidRDefault="001B0CAE">
      <w:pPr>
        <w:rPr>
          <w:rFonts w:ascii="Arial Narrow" w:hAnsi="Arial Narrow"/>
          <w:b/>
          <w:u w:val="single"/>
        </w:rPr>
      </w:pPr>
      <w:r>
        <w:rPr>
          <w:rFonts w:ascii="Arial Narrow" w:hAnsi="Arial Narrow"/>
          <w:b/>
          <w:u w:val="single"/>
        </w:rPr>
        <w:br w:type="page"/>
      </w:r>
    </w:p>
    <w:p w:rsidR="00B640C8" w:rsidRPr="00E10BFA" w:rsidRDefault="00B640C8" w:rsidP="00350FAB">
      <w:pPr>
        <w:rPr>
          <w:rFonts w:ascii="Arial Narrow" w:hAnsi="Arial Narrow" w:cs="Tahoma"/>
        </w:rPr>
      </w:pPr>
      <w:r w:rsidRPr="00E10BFA">
        <w:rPr>
          <w:rFonts w:ascii="Arial Narrow" w:hAnsi="Arial Narrow"/>
          <w:u w:val="single"/>
        </w:rPr>
        <w:lastRenderedPageBreak/>
        <w:t>ΠΑΡΑΡΤΗΜΑ: ΣΥΓΚΡΙΣΗ ΠΑΡΟΥΣΑΣ ΕΡΕΥΝΑΣ (</w:t>
      </w:r>
      <w:r w:rsidR="00322C54">
        <w:rPr>
          <w:rFonts w:ascii="Arial Narrow" w:hAnsi="Arial Narrow"/>
          <w:u w:val="single"/>
        </w:rPr>
        <w:t>Φεβρουάριος 2017</w:t>
      </w:r>
      <w:r w:rsidRPr="00E10BFA">
        <w:rPr>
          <w:rFonts w:ascii="Arial Narrow" w:hAnsi="Arial Narrow"/>
          <w:u w:val="single"/>
        </w:rPr>
        <w:t>) ΜΕ ΠΡΟΗΓΟΥΜΕΝΕΣ ΕΡΕΥΝΕΣ</w:t>
      </w:r>
    </w:p>
    <w:p w:rsidR="00B640C8" w:rsidRPr="00E10BFA" w:rsidRDefault="00B640C8" w:rsidP="00E54F10">
      <w:pPr>
        <w:jc w:val="both"/>
        <w:rPr>
          <w:rFonts w:ascii="Arial Narrow" w:hAnsi="Arial Narrow"/>
          <w:b/>
          <w:sz w:val="20"/>
          <w:szCs w:val="20"/>
        </w:rPr>
      </w:pPr>
    </w:p>
    <w:p w:rsidR="00B640C8" w:rsidRPr="008F2928" w:rsidRDefault="00B640C8" w:rsidP="007E2E20">
      <w:pPr>
        <w:jc w:val="center"/>
        <w:rPr>
          <w:rFonts w:ascii="Arial Narrow" w:hAnsi="Arial Narrow"/>
          <w:b/>
          <w:sz w:val="20"/>
          <w:szCs w:val="20"/>
        </w:rPr>
      </w:pPr>
      <w:r w:rsidRPr="00E10BFA">
        <w:rPr>
          <w:rFonts w:ascii="Arial Narrow" w:hAnsi="Arial Narrow"/>
          <w:b/>
          <w:sz w:val="20"/>
          <w:szCs w:val="20"/>
        </w:rPr>
        <w:t>Τα παρακάτω νούμερα αναφέρονται σε ποσοστά επί του συνόλου των ερωτηθέντων επιχειρηματιών</w:t>
      </w:r>
    </w:p>
    <w:p w:rsidR="00B640C8" w:rsidRDefault="00B640C8" w:rsidP="00E54F10">
      <w:pPr>
        <w:jc w:val="center"/>
        <w:rPr>
          <w:rFonts w:ascii="Arial Narrow" w:hAnsi="Arial Narrow"/>
          <w:b/>
          <w:sz w:val="20"/>
          <w:szCs w:val="20"/>
          <w:u w:val="single"/>
        </w:rPr>
      </w:pPr>
    </w:p>
    <w:p w:rsidR="00562674" w:rsidRDefault="00B640C8" w:rsidP="00315382">
      <w:pPr>
        <w:jc w:val="center"/>
        <w:rPr>
          <w:rFonts w:ascii="Arial Narrow" w:hAnsi="Arial Narrow"/>
          <w:b/>
          <w:sz w:val="20"/>
          <w:szCs w:val="20"/>
          <w:u w:val="single"/>
        </w:rPr>
      </w:pPr>
      <w:r>
        <w:rPr>
          <w:rFonts w:ascii="Arial Narrow" w:hAnsi="Arial Narrow"/>
          <w:b/>
          <w:sz w:val="20"/>
          <w:szCs w:val="20"/>
          <w:u w:val="single"/>
        </w:rPr>
        <w:t>ΔΙΑΓΡΑΜΜΑ</w:t>
      </w:r>
    </w:p>
    <w:p w:rsidR="005B6C38" w:rsidRDefault="005B6C38" w:rsidP="00315382">
      <w:pPr>
        <w:jc w:val="center"/>
        <w:rPr>
          <w:rFonts w:ascii="Arial Narrow" w:hAnsi="Arial Narrow"/>
          <w:b/>
          <w:bCs/>
          <w:noProof/>
          <w:sz w:val="20"/>
          <w:szCs w:val="20"/>
          <w:u w:val="single"/>
        </w:rPr>
      </w:pPr>
    </w:p>
    <w:p w:rsidR="00983A68" w:rsidRDefault="00E575BD" w:rsidP="00315382">
      <w:pPr>
        <w:jc w:val="center"/>
        <w:rPr>
          <w:rFonts w:ascii="Arial Narrow" w:hAnsi="Arial Narrow"/>
          <w:b/>
          <w:bCs/>
          <w:noProof/>
          <w:sz w:val="20"/>
          <w:szCs w:val="20"/>
          <w:u w:val="single"/>
        </w:rPr>
      </w:pPr>
      <w:r w:rsidRPr="00E575BD">
        <w:rPr>
          <w:rFonts w:ascii="Arial Narrow" w:hAnsi="Arial Narrow"/>
          <w:b/>
          <w:bCs/>
          <w:noProof/>
          <w:sz w:val="20"/>
          <w:szCs w:val="20"/>
        </w:rPr>
        <w:drawing>
          <wp:inline distT="0" distB="0" distL="0" distR="0" wp14:anchorId="7E38D117" wp14:editId="64BA4D20">
            <wp:extent cx="6419850" cy="3361438"/>
            <wp:effectExtent l="0" t="0" r="0" b="0"/>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2279" cy="3362710"/>
                    </a:xfrm>
                    <a:prstGeom prst="rect">
                      <a:avLst/>
                    </a:prstGeom>
                    <a:noFill/>
                    <a:ln>
                      <a:noFill/>
                    </a:ln>
                    <a:effectLst/>
                  </pic:spPr>
                </pic:pic>
              </a:graphicData>
            </a:graphic>
          </wp:inline>
        </w:drawing>
      </w:r>
    </w:p>
    <w:p w:rsidR="00E575BD" w:rsidRDefault="00E575BD" w:rsidP="00315382">
      <w:pPr>
        <w:jc w:val="center"/>
        <w:rPr>
          <w:rFonts w:ascii="Arial Narrow" w:hAnsi="Arial Narrow"/>
          <w:b/>
          <w:bCs/>
          <w:noProof/>
          <w:sz w:val="20"/>
          <w:szCs w:val="20"/>
          <w:u w:val="single"/>
        </w:rPr>
      </w:pPr>
    </w:p>
    <w:p w:rsidR="00E575BD" w:rsidRDefault="00E575BD" w:rsidP="00E575BD">
      <w:pPr>
        <w:jc w:val="center"/>
        <w:rPr>
          <w:rFonts w:ascii="Arial Narrow" w:hAnsi="Arial Narrow"/>
          <w:b/>
          <w:bCs/>
          <w:noProof/>
          <w:sz w:val="20"/>
          <w:szCs w:val="20"/>
          <w:u w:val="single"/>
        </w:rPr>
      </w:pPr>
      <w:r w:rsidRPr="00E575BD">
        <w:rPr>
          <w:rFonts w:ascii="Arial Narrow" w:hAnsi="Arial Narrow"/>
          <w:b/>
          <w:bCs/>
          <w:noProof/>
          <w:sz w:val="20"/>
          <w:szCs w:val="20"/>
        </w:rPr>
        <w:drawing>
          <wp:inline distT="0" distB="0" distL="0" distR="0" wp14:anchorId="2EAF3093" wp14:editId="11E745C8">
            <wp:extent cx="6372225" cy="3148833"/>
            <wp:effectExtent l="0" t="0" r="0" b="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68608" cy="3147046"/>
                    </a:xfrm>
                    <a:prstGeom prst="rect">
                      <a:avLst/>
                    </a:prstGeom>
                    <a:noFill/>
                    <a:ln>
                      <a:noFill/>
                    </a:ln>
                    <a:effectLst/>
                  </pic:spPr>
                </pic:pic>
              </a:graphicData>
            </a:graphic>
          </wp:inline>
        </w:drawing>
      </w:r>
    </w:p>
    <w:p w:rsidR="00E575BD" w:rsidRDefault="00E575BD" w:rsidP="00315382">
      <w:pPr>
        <w:jc w:val="center"/>
        <w:rPr>
          <w:rFonts w:ascii="Arial Narrow" w:hAnsi="Arial Narrow"/>
          <w:b/>
          <w:bCs/>
          <w:noProof/>
          <w:sz w:val="20"/>
          <w:szCs w:val="20"/>
          <w:u w:val="single"/>
        </w:rPr>
      </w:pPr>
    </w:p>
    <w:p w:rsidR="00E575BD" w:rsidRDefault="00E575BD" w:rsidP="00315382">
      <w:pPr>
        <w:jc w:val="center"/>
        <w:rPr>
          <w:rFonts w:ascii="Arial Narrow" w:hAnsi="Arial Narrow"/>
          <w:b/>
          <w:bCs/>
          <w:noProof/>
          <w:sz w:val="20"/>
          <w:szCs w:val="20"/>
          <w:u w:val="single"/>
        </w:rPr>
      </w:pPr>
    </w:p>
    <w:p w:rsidR="00061FC0" w:rsidRPr="00E575BD" w:rsidRDefault="00061FC0" w:rsidP="00E575BD">
      <w:pPr>
        <w:rPr>
          <w:rFonts w:ascii="Arial Narrow" w:hAnsi="Arial Narrow"/>
          <w:b/>
          <w:bCs/>
          <w:noProof/>
          <w:sz w:val="20"/>
          <w:szCs w:val="20"/>
          <w:u w:val="single"/>
        </w:rPr>
      </w:pPr>
    </w:p>
    <w:p w:rsidR="00B640C8" w:rsidRPr="00061FC0" w:rsidRDefault="00B640C8" w:rsidP="00E54F10">
      <w:pPr>
        <w:jc w:val="both"/>
        <w:rPr>
          <w:rFonts w:ascii="Arial Narrow" w:hAnsi="Arial Narrow"/>
          <w:b/>
          <w:bCs/>
          <w:sz w:val="20"/>
          <w:szCs w:val="20"/>
          <w:u w:val="single"/>
          <w:lang w:val="en-US"/>
        </w:rPr>
      </w:pPr>
    </w:p>
    <w:p w:rsidR="00B640C8" w:rsidRPr="008F2928" w:rsidRDefault="00E575BD" w:rsidP="00E54F10">
      <w:pPr>
        <w:jc w:val="both"/>
        <w:rPr>
          <w:rFonts w:ascii="Arial Narrow" w:hAnsi="Arial Narrow"/>
          <w:b/>
          <w:bCs/>
          <w:sz w:val="20"/>
          <w:szCs w:val="20"/>
          <w:u w:val="single"/>
        </w:rPr>
      </w:pPr>
      <w:r>
        <w:rPr>
          <w:rFonts w:ascii="Arial Narrow" w:hAnsi="Arial Narrow"/>
          <w:b/>
          <w:bCs/>
          <w:sz w:val="20"/>
          <w:szCs w:val="20"/>
          <w:u w:val="single"/>
        </w:rPr>
        <w:t xml:space="preserve">Μείωση </w:t>
      </w:r>
      <w:r w:rsidR="00B640C8" w:rsidRPr="008F2928">
        <w:rPr>
          <w:rFonts w:ascii="Arial Narrow" w:hAnsi="Arial Narrow"/>
          <w:b/>
          <w:bCs/>
          <w:sz w:val="20"/>
          <w:szCs w:val="20"/>
          <w:u w:val="single"/>
        </w:rPr>
        <w:t>* Καταγεγραμμένη μείωση προηγούμενου εξαμήνου</w:t>
      </w:r>
    </w:p>
    <w:p w:rsidR="00DC79DB" w:rsidRDefault="00E575BD" w:rsidP="008A52EA">
      <w:pPr>
        <w:jc w:val="both"/>
        <w:rPr>
          <w:rFonts w:ascii="Arial Narrow" w:hAnsi="Arial Narrow"/>
          <w:b/>
          <w:bCs/>
          <w:sz w:val="20"/>
          <w:szCs w:val="20"/>
          <w:u w:val="single"/>
        </w:rPr>
      </w:pPr>
      <w:r>
        <w:rPr>
          <w:rFonts w:ascii="Arial Narrow" w:hAnsi="Arial Narrow"/>
          <w:b/>
          <w:bCs/>
          <w:sz w:val="20"/>
          <w:szCs w:val="20"/>
          <w:u w:val="single"/>
        </w:rPr>
        <w:t>Θα μειωθεί περισσότερο</w:t>
      </w:r>
      <w:r w:rsidR="00B640C8" w:rsidRPr="008F2928">
        <w:rPr>
          <w:rFonts w:ascii="Arial Narrow" w:hAnsi="Arial Narrow"/>
          <w:b/>
          <w:bCs/>
          <w:sz w:val="20"/>
          <w:szCs w:val="20"/>
          <w:u w:val="single"/>
        </w:rPr>
        <w:t>** Προβλεπόμενη μείωση για το επόμενο εξάμηνο</w:t>
      </w:r>
    </w:p>
    <w:p w:rsidR="00DC79DB" w:rsidRPr="00C7707C" w:rsidRDefault="00DC79DB" w:rsidP="00C7707C">
      <w:pPr>
        <w:rPr>
          <w:rFonts w:ascii="Arial Narrow" w:hAnsi="Arial Narrow"/>
          <w:b/>
          <w:bCs/>
          <w:sz w:val="20"/>
          <w:szCs w:val="20"/>
          <w:u w:val="single"/>
        </w:rPr>
      </w:pPr>
    </w:p>
    <w:sectPr w:rsidR="00DC79DB" w:rsidRPr="00C7707C" w:rsidSect="00194415">
      <w:footerReference w:type="even" r:id="rId35"/>
      <w:footerReference w:type="default" r:id="rId36"/>
      <w:pgSz w:w="11906" w:h="16838"/>
      <w:pgMar w:top="1079" w:right="926" w:bottom="1079" w:left="900" w:header="708" w:footer="93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B17" w:rsidRDefault="00477B17">
      <w:r>
        <w:separator/>
      </w:r>
    </w:p>
  </w:endnote>
  <w:endnote w:type="continuationSeparator" w:id="0">
    <w:p w:rsidR="00477B17" w:rsidRDefault="00477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 w:name="Baskerville">
    <w:altName w:val="Courier New"/>
    <w:panose1 w:val="00000000000000000000"/>
    <w:charset w:val="00"/>
    <w:family w:val="auto"/>
    <w:notTrueType/>
    <w:pitch w:val="variable"/>
    <w:sig w:usb0="00000003" w:usb1="00000000" w:usb2="00000000" w:usb3="00000000" w:csb0="00000001" w:csb1="00000000"/>
  </w:font>
  <w:font w:name="Trebuchet MS">
    <w:panose1 w:val="020B0603020202020204"/>
    <w:charset w:val="A1"/>
    <w:family w:val="swiss"/>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mn-ea">
    <w:panose1 w:val="00000000000000000000"/>
    <w:charset w:val="00"/>
    <w:family w:val="roman"/>
    <w:notTrueType/>
    <w:pitch w:val="default"/>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8C3" w:rsidRDefault="004E68C3" w:rsidP="006C6D36">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E68C3" w:rsidRDefault="004E68C3" w:rsidP="000978F2">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8C3" w:rsidRDefault="004E68C3" w:rsidP="006C6D36">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E45E1">
      <w:rPr>
        <w:rStyle w:val="a9"/>
        <w:noProof/>
      </w:rPr>
      <w:t>7</w:t>
    </w:r>
    <w:r>
      <w:rPr>
        <w:rStyle w:val="a9"/>
      </w:rPr>
      <w:fldChar w:fldCharType="end"/>
    </w:r>
  </w:p>
  <w:p w:rsidR="004E68C3" w:rsidRDefault="004E68C3" w:rsidP="0084174B">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B17" w:rsidRDefault="00477B17">
      <w:r>
        <w:separator/>
      </w:r>
    </w:p>
  </w:footnote>
  <w:footnote w:type="continuationSeparator" w:id="0">
    <w:p w:rsidR="00477B17" w:rsidRDefault="00477B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1A"/>
    <w:multiLevelType w:val="hybridMultilevel"/>
    <w:tmpl w:val="EFBA3E1C"/>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0AA056E0"/>
    <w:multiLevelType w:val="hybridMultilevel"/>
    <w:tmpl w:val="4C908A4E"/>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0EB43E05"/>
    <w:multiLevelType w:val="hybridMultilevel"/>
    <w:tmpl w:val="6096B9CE"/>
    <w:lvl w:ilvl="0" w:tplc="78340834">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40B23A4"/>
    <w:multiLevelType w:val="hybridMultilevel"/>
    <w:tmpl w:val="27869F5A"/>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4">
    <w:nsid w:val="16D23808"/>
    <w:multiLevelType w:val="hybridMultilevel"/>
    <w:tmpl w:val="C3C86D14"/>
    <w:lvl w:ilvl="0" w:tplc="978C7958">
      <w:start w:val="1"/>
      <w:numFmt w:val="decimal"/>
      <w:lvlText w:val="%1"/>
      <w:lvlJc w:val="left"/>
      <w:pPr>
        <w:ind w:left="780" w:hanging="360"/>
      </w:pPr>
      <w:rPr>
        <w:rFonts w:hint="default"/>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5">
    <w:nsid w:val="17A675A9"/>
    <w:multiLevelType w:val="hybridMultilevel"/>
    <w:tmpl w:val="34308790"/>
    <w:lvl w:ilvl="0" w:tplc="0408000B">
      <w:start w:val="1"/>
      <w:numFmt w:val="bullet"/>
      <w:lvlText w:val=""/>
      <w:lvlJc w:val="left"/>
      <w:pPr>
        <w:tabs>
          <w:tab w:val="num" w:pos="360"/>
        </w:tabs>
        <w:ind w:left="360" w:hanging="360"/>
      </w:pPr>
      <w:rPr>
        <w:rFonts w:ascii="Wingdings" w:hAnsi="Wingdings" w:hint="default"/>
      </w:rPr>
    </w:lvl>
    <w:lvl w:ilvl="1" w:tplc="0408000B">
      <w:start w:val="1"/>
      <w:numFmt w:val="bullet"/>
      <w:lvlText w:val=""/>
      <w:lvlJc w:val="left"/>
      <w:pPr>
        <w:tabs>
          <w:tab w:val="num" w:pos="1080"/>
        </w:tabs>
        <w:ind w:left="1080" w:hanging="360"/>
      </w:pPr>
      <w:rPr>
        <w:rFonts w:ascii="Wingdings" w:hAnsi="Wingdings"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
    <w:nsid w:val="188D0316"/>
    <w:multiLevelType w:val="hybridMultilevel"/>
    <w:tmpl w:val="51FC8E18"/>
    <w:lvl w:ilvl="0" w:tplc="9942192A">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1805521"/>
    <w:multiLevelType w:val="hybridMultilevel"/>
    <w:tmpl w:val="C14AE070"/>
    <w:lvl w:ilvl="0" w:tplc="18FCF692">
      <w:start w:val="1"/>
      <w:numFmt w:val="bullet"/>
      <w:lvlText w:val="-"/>
      <w:lvlJc w:val="left"/>
      <w:pPr>
        <w:ind w:left="644" w:hanging="360"/>
      </w:pPr>
      <w:rPr>
        <w:rFonts w:ascii="Arial Black" w:eastAsia="Times New Roman" w:hAnsi="Arial Black" w:cs="Tahoma"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8">
    <w:nsid w:val="27301F86"/>
    <w:multiLevelType w:val="hybridMultilevel"/>
    <w:tmpl w:val="35B00D48"/>
    <w:lvl w:ilvl="0" w:tplc="04080011">
      <w:start w:val="1"/>
      <w:numFmt w:val="decimal"/>
      <w:lvlText w:val="%1)"/>
      <w:lvlJc w:val="left"/>
      <w:pPr>
        <w:tabs>
          <w:tab w:val="num" w:pos="360"/>
        </w:tabs>
        <w:ind w:left="360" w:hanging="360"/>
      </w:pPr>
      <w:rPr>
        <w:rFonts w:cs="Times New Roman"/>
      </w:rPr>
    </w:lvl>
    <w:lvl w:ilvl="1" w:tplc="04080019" w:tentative="1">
      <w:start w:val="1"/>
      <w:numFmt w:val="lowerLetter"/>
      <w:lvlText w:val="%2."/>
      <w:lvlJc w:val="left"/>
      <w:pPr>
        <w:tabs>
          <w:tab w:val="num" w:pos="1080"/>
        </w:tabs>
        <w:ind w:left="1080" w:hanging="360"/>
      </w:pPr>
      <w:rPr>
        <w:rFonts w:cs="Times New Roman"/>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9">
    <w:nsid w:val="288F3A07"/>
    <w:multiLevelType w:val="hybridMultilevel"/>
    <w:tmpl w:val="272E990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C8350EE"/>
    <w:multiLevelType w:val="hybridMultilevel"/>
    <w:tmpl w:val="9CDE5E4C"/>
    <w:lvl w:ilvl="0" w:tplc="78340834">
      <w:start w:val="1"/>
      <w:numFmt w:val="decimal"/>
      <w:lvlText w:val="%1)"/>
      <w:lvlJc w:val="left"/>
      <w:pPr>
        <w:ind w:left="360" w:hanging="360"/>
      </w:pPr>
      <w:rPr>
        <w:rFonts w:cs="Times New Roman" w:hint="default"/>
        <w:b w:val="0"/>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2F063FEF"/>
    <w:multiLevelType w:val="hybridMultilevel"/>
    <w:tmpl w:val="39304ADA"/>
    <w:lvl w:ilvl="0" w:tplc="1234A8B8">
      <w:start w:val="1"/>
      <w:numFmt w:val="decimal"/>
      <w:lvlText w:val="%1)"/>
      <w:lvlJc w:val="left"/>
      <w:pPr>
        <w:ind w:left="720" w:hanging="360"/>
      </w:pPr>
      <w:rPr>
        <w:rFonts w:ascii="Arial Black" w:eastAsia="Times New Roman" w:hAnsi="Arial Black" w:cs="Tahom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07D6535"/>
    <w:multiLevelType w:val="hybridMultilevel"/>
    <w:tmpl w:val="9886FAA0"/>
    <w:lvl w:ilvl="0" w:tplc="7834083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2C3216B"/>
    <w:multiLevelType w:val="hybridMultilevel"/>
    <w:tmpl w:val="7B561FF6"/>
    <w:lvl w:ilvl="0" w:tplc="0408000B">
      <w:start w:val="1"/>
      <w:numFmt w:val="bullet"/>
      <w:lvlText w:val=""/>
      <w:lvlJc w:val="left"/>
      <w:pPr>
        <w:tabs>
          <w:tab w:val="num" w:pos="360"/>
        </w:tabs>
        <w:ind w:left="360" w:hanging="360"/>
      </w:pPr>
      <w:rPr>
        <w:rFonts w:ascii="Wingdings" w:hAnsi="Wingdings" w:hint="default"/>
      </w:rPr>
    </w:lvl>
    <w:lvl w:ilvl="1" w:tplc="0408000B">
      <w:start w:val="1"/>
      <w:numFmt w:val="bullet"/>
      <w:lvlText w:val=""/>
      <w:lvlJc w:val="left"/>
      <w:pPr>
        <w:tabs>
          <w:tab w:val="num" w:pos="1800"/>
        </w:tabs>
        <w:ind w:left="1800" w:hanging="360"/>
      </w:pPr>
      <w:rPr>
        <w:rFonts w:ascii="Wingdings" w:hAnsi="Wingding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4">
    <w:nsid w:val="36EF2663"/>
    <w:multiLevelType w:val="hybridMultilevel"/>
    <w:tmpl w:val="B53C6E3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B211C5E"/>
    <w:multiLevelType w:val="hybridMultilevel"/>
    <w:tmpl w:val="1A0EFD36"/>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6">
    <w:nsid w:val="40356B87"/>
    <w:multiLevelType w:val="hybridMultilevel"/>
    <w:tmpl w:val="F6EA26E0"/>
    <w:lvl w:ilvl="0" w:tplc="04080011">
      <w:start w:val="1"/>
      <w:numFmt w:val="decimal"/>
      <w:lvlText w:val="%1)"/>
      <w:lvlJc w:val="left"/>
      <w:pPr>
        <w:tabs>
          <w:tab w:val="num" w:pos="360"/>
        </w:tabs>
        <w:ind w:left="360" w:hanging="360"/>
      </w:pPr>
      <w:rPr>
        <w:rFonts w:cs="Times New Roman"/>
      </w:rPr>
    </w:lvl>
    <w:lvl w:ilvl="1" w:tplc="04080019" w:tentative="1">
      <w:start w:val="1"/>
      <w:numFmt w:val="lowerLetter"/>
      <w:lvlText w:val="%2."/>
      <w:lvlJc w:val="left"/>
      <w:pPr>
        <w:tabs>
          <w:tab w:val="num" w:pos="1080"/>
        </w:tabs>
        <w:ind w:left="1080" w:hanging="360"/>
      </w:pPr>
      <w:rPr>
        <w:rFonts w:cs="Times New Roman"/>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17">
    <w:nsid w:val="40566F50"/>
    <w:multiLevelType w:val="hybridMultilevel"/>
    <w:tmpl w:val="9886FAA0"/>
    <w:lvl w:ilvl="0" w:tplc="7834083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13A1F44"/>
    <w:multiLevelType w:val="hybridMultilevel"/>
    <w:tmpl w:val="06FAE2CC"/>
    <w:lvl w:ilvl="0" w:tplc="68D2CF1A">
      <w:start w:val="1"/>
      <w:numFmt w:val="bullet"/>
      <w:lvlText w:val=""/>
      <w:lvlJc w:val="left"/>
      <w:pPr>
        <w:tabs>
          <w:tab w:val="num" w:pos="540"/>
        </w:tabs>
        <w:ind w:left="540" w:hanging="360"/>
      </w:pPr>
      <w:rPr>
        <w:rFonts w:ascii="Wingdings" w:hAnsi="Wingdings" w:hint="default"/>
        <w:color w:val="auto"/>
      </w:rPr>
    </w:lvl>
    <w:lvl w:ilvl="1" w:tplc="0408000B">
      <w:start w:val="1"/>
      <w:numFmt w:val="bullet"/>
      <w:lvlText w:val=""/>
      <w:lvlJc w:val="left"/>
      <w:pPr>
        <w:tabs>
          <w:tab w:val="num" w:pos="1080"/>
        </w:tabs>
        <w:ind w:left="1080" w:hanging="360"/>
      </w:pPr>
      <w:rPr>
        <w:rFonts w:ascii="Wingdings" w:hAnsi="Wingdings"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9">
    <w:nsid w:val="49050A00"/>
    <w:multiLevelType w:val="hybridMultilevel"/>
    <w:tmpl w:val="9FAABAEA"/>
    <w:lvl w:ilvl="0" w:tplc="2D64BAE0">
      <w:start w:val="1"/>
      <w:numFmt w:val="decimal"/>
      <w:lvlText w:val="%1)"/>
      <w:lvlJc w:val="left"/>
      <w:pPr>
        <w:ind w:left="360" w:hanging="360"/>
      </w:pPr>
      <w:rPr>
        <w:rFonts w:cs="Times New Roman" w:hint="default"/>
        <w:b w:val="0"/>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0">
    <w:nsid w:val="493E15DF"/>
    <w:multiLevelType w:val="hybridMultilevel"/>
    <w:tmpl w:val="955696B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4A914EA7"/>
    <w:multiLevelType w:val="hybridMultilevel"/>
    <w:tmpl w:val="5BDA0D08"/>
    <w:lvl w:ilvl="0" w:tplc="78340834">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CB87D87"/>
    <w:multiLevelType w:val="hybridMultilevel"/>
    <w:tmpl w:val="E9BA3FF8"/>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nsid w:val="51B4231F"/>
    <w:multiLevelType w:val="hybridMultilevel"/>
    <w:tmpl w:val="20A4A96E"/>
    <w:lvl w:ilvl="0" w:tplc="0408000F">
      <w:start w:val="1"/>
      <w:numFmt w:val="decimal"/>
      <w:lvlText w:val="%1."/>
      <w:lvlJc w:val="left"/>
      <w:pPr>
        <w:ind w:left="1260" w:hanging="360"/>
      </w:pPr>
    </w:lvl>
    <w:lvl w:ilvl="1" w:tplc="04080019" w:tentative="1">
      <w:start w:val="1"/>
      <w:numFmt w:val="lowerLetter"/>
      <w:lvlText w:val="%2."/>
      <w:lvlJc w:val="left"/>
      <w:pPr>
        <w:ind w:left="1980" w:hanging="360"/>
      </w:pPr>
    </w:lvl>
    <w:lvl w:ilvl="2" w:tplc="0408001B" w:tentative="1">
      <w:start w:val="1"/>
      <w:numFmt w:val="lowerRoman"/>
      <w:lvlText w:val="%3."/>
      <w:lvlJc w:val="right"/>
      <w:pPr>
        <w:ind w:left="2700" w:hanging="180"/>
      </w:pPr>
    </w:lvl>
    <w:lvl w:ilvl="3" w:tplc="0408000F" w:tentative="1">
      <w:start w:val="1"/>
      <w:numFmt w:val="decimal"/>
      <w:lvlText w:val="%4."/>
      <w:lvlJc w:val="left"/>
      <w:pPr>
        <w:ind w:left="3420" w:hanging="360"/>
      </w:pPr>
    </w:lvl>
    <w:lvl w:ilvl="4" w:tplc="04080019" w:tentative="1">
      <w:start w:val="1"/>
      <w:numFmt w:val="lowerLetter"/>
      <w:lvlText w:val="%5."/>
      <w:lvlJc w:val="left"/>
      <w:pPr>
        <w:ind w:left="4140" w:hanging="360"/>
      </w:pPr>
    </w:lvl>
    <w:lvl w:ilvl="5" w:tplc="0408001B" w:tentative="1">
      <w:start w:val="1"/>
      <w:numFmt w:val="lowerRoman"/>
      <w:lvlText w:val="%6."/>
      <w:lvlJc w:val="right"/>
      <w:pPr>
        <w:ind w:left="4860" w:hanging="180"/>
      </w:pPr>
    </w:lvl>
    <w:lvl w:ilvl="6" w:tplc="0408000F" w:tentative="1">
      <w:start w:val="1"/>
      <w:numFmt w:val="decimal"/>
      <w:lvlText w:val="%7."/>
      <w:lvlJc w:val="left"/>
      <w:pPr>
        <w:ind w:left="5580" w:hanging="360"/>
      </w:pPr>
    </w:lvl>
    <w:lvl w:ilvl="7" w:tplc="04080019" w:tentative="1">
      <w:start w:val="1"/>
      <w:numFmt w:val="lowerLetter"/>
      <w:lvlText w:val="%8."/>
      <w:lvlJc w:val="left"/>
      <w:pPr>
        <w:ind w:left="6300" w:hanging="360"/>
      </w:pPr>
    </w:lvl>
    <w:lvl w:ilvl="8" w:tplc="0408001B" w:tentative="1">
      <w:start w:val="1"/>
      <w:numFmt w:val="lowerRoman"/>
      <w:lvlText w:val="%9."/>
      <w:lvlJc w:val="right"/>
      <w:pPr>
        <w:ind w:left="7020" w:hanging="180"/>
      </w:pPr>
    </w:lvl>
  </w:abstractNum>
  <w:abstractNum w:abstractNumId="24">
    <w:nsid w:val="55DB0B5E"/>
    <w:multiLevelType w:val="hybridMultilevel"/>
    <w:tmpl w:val="AF329BF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7D13E02"/>
    <w:multiLevelType w:val="hybridMultilevel"/>
    <w:tmpl w:val="0BC272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8D408E8"/>
    <w:multiLevelType w:val="hybridMultilevel"/>
    <w:tmpl w:val="DCFEB73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98D4012"/>
    <w:multiLevelType w:val="hybridMultilevel"/>
    <w:tmpl w:val="13E6A01E"/>
    <w:lvl w:ilvl="0" w:tplc="78340834">
      <w:start w:val="1"/>
      <w:numFmt w:val="decimal"/>
      <w:lvlText w:val="%1)"/>
      <w:lvlJc w:val="left"/>
      <w:pPr>
        <w:ind w:left="360" w:hanging="360"/>
      </w:pPr>
      <w:rPr>
        <w:rFonts w:cs="Times New Roman" w:hint="default"/>
        <w:b w:val="0"/>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nsid w:val="59EF01CA"/>
    <w:multiLevelType w:val="hybridMultilevel"/>
    <w:tmpl w:val="754EA3BE"/>
    <w:lvl w:ilvl="0" w:tplc="363C1CEA">
      <w:start w:val="1"/>
      <w:numFmt w:val="decimal"/>
      <w:lvlText w:val="%1)"/>
      <w:lvlJc w:val="left"/>
      <w:pPr>
        <w:ind w:left="786" w:hanging="360"/>
      </w:pPr>
      <w:rPr>
        <w:rFonts w:ascii="Arial Black" w:eastAsia="Times New Roman" w:hAnsi="Arial Black" w:cs="Tahoma"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29">
    <w:nsid w:val="5E8674FD"/>
    <w:multiLevelType w:val="hybridMultilevel"/>
    <w:tmpl w:val="B6BCF7B8"/>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nsid w:val="631E2F55"/>
    <w:multiLevelType w:val="hybridMultilevel"/>
    <w:tmpl w:val="380A465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35F054F"/>
    <w:multiLevelType w:val="hybridMultilevel"/>
    <w:tmpl w:val="C4E29D8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40313B8"/>
    <w:multiLevelType w:val="hybridMultilevel"/>
    <w:tmpl w:val="B8E6CC10"/>
    <w:lvl w:ilvl="0" w:tplc="04080011">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3">
    <w:nsid w:val="678C257C"/>
    <w:multiLevelType w:val="hybridMultilevel"/>
    <w:tmpl w:val="0B8C6976"/>
    <w:lvl w:ilvl="0" w:tplc="64FC7CD0">
      <w:start w:val="1"/>
      <w:numFmt w:val="decimal"/>
      <w:lvlText w:val="%1)"/>
      <w:lvlJc w:val="left"/>
      <w:pPr>
        <w:ind w:left="1146" w:hanging="360"/>
      </w:pPr>
      <w:rPr>
        <w:rFonts w:ascii="Tahoma" w:eastAsia="Times New Roman" w:hAnsi="Tahoma" w:cs="Tahoma"/>
        <w:b w:val="0"/>
        <w:color w:val="auto"/>
      </w:rPr>
    </w:lvl>
    <w:lvl w:ilvl="1" w:tplc="04080019" w:tentative="1">
      <w:start w:val="1"/>
      <w:numFmt w:val="lowerLetter"/>
      <w:lvlText w:val="%2."/>
      <w:lvlJc w:val="left"/>
      <w:pPr>
        <w:ind w:left="1866" w:hanging="360"/>
      </w:pPr>
      <w:rPr>
        <w:rFonts w:cs="Times New Roman"/>
      </w:rPr>
    </w:lvl>
    <w:lvl w:ilvl="2" w:tplc="0408001B" w:tentative="1">
      <w:start w:val="1"/>
      <w:numFmt w:val="lowerRoman"/>
      <w:lvlText w:val="%3."/>
      <w:lvlJc w:val="right"/>
      <w:pPr>
        <w:ind w:left="2586" w:hanging="180"/>
      </w:pPr>
      <w:rPr>
        <w:rFonts w:cs="Times New Roman"/>
      </w:rPr>
    </w:lvl>
    <w:lvl w:ilvl="3" w:tplc="0408000F" w:tentative="1">
      <w:start w:val="1"/>
      <w:numFmt w:val="decimal"/>
      <w:lvlText w:val="%4."/>
      <w:lvlJc w:val="left"/>
      <w:pPr>
        <w:ind w:left="3306" w:hanging="360"/>
      </w:pPr>
      <w:rPr>
        <w:rFonts w:cs="Times New Roman"/>
      </w:rPr>
    </w:lvl>
    <w:lvl w:ilvl="4" w:tplc="04080019" w:tentative="1">
      <w:start w:val="1"/>
      <w:numFmt w:val="lowerLetter"/>
      <w:lvlText w:val="%5."/>
      <w:lvlJc w:val="left"/>
      <w:pPr>
        <w:ind w:left="4026" w:hanging="360"/>
      </w:pPr>
      <w:rPr>
        <w:rFonts w:cs="Times New Roman"/>
      </w:rPr>
    </w:lvl>
    <w:lvl w:ilvl="5" w:tplc="0408001B" w:tentative="1">
      <w:start w:val="1"/>
      <w:numFmt w:val="lowerRoman"/>
      <w:lvlText w:val="%6."/>
      <w:lvlJc w:val="right"/>
      <w:pPr>
        <w:ind w:left="4746" w:hanging="180"/>
      </w:pPr>
      <w:rPr>
        <w:rFonts w:cs="Times New Roman"/>
      </w:rPr>
    </w:lvl>
    <w:lvl w:ilvl="6" w:tplc="0408000F" w:tentative="1">
      <w:start w:val="1"/>
      <w:numFmt w:val="decimal"/>
      <w:lvlText w:val="%7."/>
      <w:lvlJc w:val="left"/>
      <w:pPr>
        <w:ind w:left="5466" w:hanging="360"/>
      </w:pPr>
      <w:rPr>
        <w:rFonts w:cs="Times New Roman"/>
      </w:rPr>
    </w:lvl>
    <w:lvl w:ilvl="7" w:tplc="04080019" w:tentative="1">
      <w:start w:val="1"/>
      <w:numFmt w:val="lowerLetter"/>
      <w:lvlText w:val="%8."/>
      <w:lvlJc w:val="left"/>
      <w:pPr>
        <w:ind w:left="6186" w:hanging="360"/>
      </w:pPr>
      <w:rPr>
        <w:rFonts w:cs="Times New Roman"/>
      </w:rPr>
    </w:lvl>
    <w:lvl w:ilvl="8" w:tplc="0408001B" w:tentative="1">
      <w:start w:val="1"/>
      <w:numFmt w:val="lowerRoman"/>
      <w:lvlText w:val="%9."/>
      <w:lvlJc w:val="right"/>
      <w:pPr>
        <w:ind w:left="6906" w:hanging="180"/>
      </w:pPr>
      <w:rPr>
        <w:rFonts w:cs="Times New Roman"/>
      </w:rPr>
    </w:lvl>
  </w:abstractNum>
  <w:abstractNum w:abstractNumId="34">
    <w:nsid w:val="6A604121"/>
    <w:multiLevelType w:val="hybridMultilevel"/>
    <w:tmpl w:val="C8A26346"/>
    <w:lvl w:ilvl="0" w:tplc="EBD2877A">
      <w:start w:val="1"/>
      <w:numFmt w:val="decimal"/>
      <w:lvlText w:val="%1)"/>
      <w:lvlJc w:val="left"/>
      <w:pPr>
        <w:ind w:left="720" w:hanging="360"/>
      </w:pPr>
      <w:rPr>
        <w:rFonts w:hint="default"/>
        <w:b/>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D4C5E85"/>
    <w:multiLevelType w:val="hybridMultilevel"/>
    <w:tmpl w:val="CC485CFC"/>
    <w:lvl w:ilvl="0" w:tplc="78340834">
      <w:start w:val="1"/>
      <w:numFmt w:val="decimal"/>
      <w:lvlText w:val="%1)"/>
      <w:lvlJc w:val="left"/>
      <w:pPr>
        <w:ind w:left="720" w:hanging="360"/>
      </w:pPr>
      <w:rPr>
        <w:rFonts w:cs="Times New Roman"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EF16C76"/>
    <w:multiLevelType w:val="hybridMultilevel"/>
    <w:tmpl w:val="88DCDE0A"/>
    <w:lvl w:ilvl="0" w:tplc="78340834">
      <w:start w:val="1"/>
      <w:numFmt w:val="decimal"/>
      <w:lvlText w:val="%1)"/>
      <w:lvlJc w:val="left"/>
      <w:pPr>
        <w:ind w:left="720" w:hanging="360"/>
      </w:pPr>
      <w:rPr>
        <w:rFonts w:cs="Times New Roman"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036099D"/>
    <w:multiLevelType w:val="hybridMultilevel"/>
    <w:tmpl w:val="2F2AB740"/>
    <w:lvl w:ilvl="0" w:tplc="9DEAB160">
      <w:start w:val="1"/>
      <w:numFmt w:val="decimal"/>
      <w:lvlText w:val="%1)"/>
      <w:lvlJc w:val="left"/>
      <w:pPr>
        <w:ind w:left="720" w:hanging="360"/>
      </w:pPr>
      <w:rPr>
        <w:rFonts w:ascii="Arial Black" w:eastAsia="Times New Roman" w:hAnsi="Arial Black" w:cs="Tahoma"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755F154D"/>
    <w:multiLevelType w:val="hybridMultilevel"/>
    <w:tmpl w:val="27EE5052"/>
    <w:lvl w:ilvl="0" w:tplc="04080011">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9">
    <w:nsid w:val="76365806"/>
    <w:multiLevelType w:val="hybridMultilevel"/>
    <w:tmpl w:val="6D9C83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9144DDC"/>
    <w:multiLevelType w:val="hybridMultilevel"/>
    <w:tmpl w:val="1E74A506"/>
    <w:lvl w:ilvl="0" w:tplc="5BAAE5E4">
      <w:start w:val="1"/>
      <w:numFmt w:val="bullet"/>
      <w:lvlText w:val=""/>
      <w:lvlJc w:val="left"/>
      <w:pPr>
        <w:ind w:left="720" w:hanging="360"/>
      </w:pPr>
      <w:rPr>
        <w:rFonts w:ascii="Wingdings" w:hAnsi="Wingdings"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A375F8D"/>
    <w:multiLevelType w:val="hybridMultilevel"/>
    <w:tmpl w:val="FC8AEF44"/>
    <w:lvl w:ilvl="0" w:tplc="3D2E7FCA">
      <w:start w:val="1"/>
      <w:numFmt w:val="bullet"/>
      <w:lvlText w:val="-"/>
      <w:lvlJc w:val="left"/>
      <w:pPr>
        <w:ind w:left="720" w:hanging="360"/>
      </w:pPr>
      <w:rPr>
        <w:rFonts w:ascii="Arial Black" w:eastAsia="Times New Roman" w:hAnsi="Arial Black"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C3C6213"/>
    <w:multiLevelType w:val="hybridMultilevel"/>
    <w:tmpl w:val="9B5CA47E"/>
    <w:lvl w:ilvl="0" w:tplc="78340834">
      <w:start w:val="1"/>
      <w:numFmt w:val="decimal"/>
      <w:lvlText w:val="%1)"/>
      <w:lvlJc w:val="left"/>
      <w:pPr>
        <w:ind w:left="720" w:hanging="360"/>
      </w:pPr>
      <w:rPr>
        <w:rFonts w:cs="Times New Roman"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D01662B"/>
    <w:multiLevelType w:val="hybridMultilevel"/>
    <w:tmpl w:val="263C47F0"/>
    <w:lvl w:ilvl="0" w:tplc="04080009">
      <w:start w:val="1"/>
      <w:numFmt w:val="bullet"/>
      <w:lvlText w:val=""/>
      <w:lvlJc w:val="left"/>
      <w:pPr>
        <w:tabs>
          <w:tab w:val="num" w:pos="1080"/>
        </w:tabs>
        <w:ind w:left="1080" w:hanging="360"/>
      </w:pPr>
      <w:rPr>
        <w:rFonts w:ascii="Wingdings" w:hAnsi="Wingdings" w:hint="default"/>
      </w:rPr>
    </w:lvl>
    <w:lvl w:ilvl="1" w:tplc="0408000B">
      <w:start w:val="1"/>
      <w:numFmt w:val="bullet"/>
      <w:lvlText w:val=""/>
      <w:lvlJc w:val="left"/>
      <w:pPr>
        <w:tabs>
          <w:tab w:val="num" w:pos="1800"/>
        </w:tabs>
        <w:ind w:left="1800" w:hanging="360"/>
      </w:pPr>
      <w:rPr>
        <w:rFonts w:ascii="Wingdings" w:hAnsi="Wingding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4">
    <w:nsid w:val="7D811613"/>
    <w:multiLevelType w:val="hybridMultilevel"/>
    <w:tmpl w:val="0044924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DB140D5"/>
    <w:multiLevelType w:val="hybridMultilevel"/>
    <w:tmpl w:val="50542216"/>
    <w:lvl w:ilvl="0" w:tplc="7FD6D48A">
      <w:start w:val="1"/>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EF60298"/>
    <w:multiLevelType w:val="hybridMultilevel"/>
    <w:tmpl w:val="9CF83E7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FD012C4"/>
    <w:multiLevelType w:val="hybridMultilevel"/>
    <w:tmpl w:val="3224DD6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3"/>
  </w:num>
  <w:num w:numId="2">
    <w:abstractNumId w:val="15"/>
  </w:num>
  <w:num w:numId="3">
    <w:abstractNumId w:val="20"/>
  </w:num>
  <w:num w:numId="4">
    <w:abstractNumId w:val="18"/>
  </w:num>
  <w:num w:numId="5">
    <w:abstractNumId w:val="5"/>
  </w:num>
  <w:num w:numId="6">
    <w:abstractNumId w:val="3"/>
  </w:num>
  <w:num w:numId="7">
    <w:abstractNumId w:val="32"/>
  </w:num>
  <w:num w:numId="8">
    <w:abstractNumId w:val="33"/>
  </w:num>
  <w:num w:numId="9">
    <w:abstractNumId w:val="8"/>
  </w:num>
  <w:num w:numId="10">
    <w:abstractNumId w:val="16"/>
  </w:num>
  <w:num w:numId="11">
    <w:abstractNumId w:val="19"/>
  </w:num>
  <w:num w:numId="12">
    <w:abstractNumId w:val="38"/>
  </w:num>
  <w:num w:numId="13">
    <w:abstractNumId w:val="13"/>
  </w:num>
  <w:num w:numId="14">
    <w:abstractNumId w:val="42"/>
  </w:num>
  <w:num w:numId="15">
    <w:abstractNumId w:val="2"/>
  </w:num>
  <w:num w:numId="16">
    <w:abstractNumId w:val="12"/>
  </w:num>
  <w:num w:numId="17">
    <w:abstractNumId w:val="17"/>
  </w:num>
  <w:num w:numId="18">
    <w:abstractNumId w:val="25"/>
  </w:num>
  <w:num w:numId="19">
    <w:abstractNumId w:val="37"/>
  </w:num>
  <w:num w:numId="20">
    <w:abstractNumId w:val="21"/>
  </w:num>
  <w:num w:numId="21">
    <w:abstractNumId w:val="39"/>
  </w:num>
  <w:num w:numId="22">
    <w:abstractNumId w:val="47"/>
  </w:num>
  <w:num w:numId="23">
    <w:abstractNumId w:val="14"/>
  </w:num>
  <w:num w:numId="24">
    <w:abstractNumId w:val="40"/>
  </w:num>
  <w:num w:numId="25">
    <w:abstractNumId w:val="6"/>
  </w:num>
  <w:num w:numId="26">
    <w:abstractNumId w:val="34"/>
  </w:num>
  <w:num w:numId="27">
    <w:abstractNumId w:val="9"/>
  </w:num>
  <w:num w:numId="28">
    <w:abstractNumId w:val="28"/>
  </w:num>
  <w:num w:numId="29">
    <w:abstractNumId w:val="31"/>
  </w:num>
  <w:num w:numId="30">
    <w:abstractNumId w:val="10"/>
  </w:num>
  <w:num w:numId="31">
    <w:abstractNumId w:val="11"/>
  </w:num>
  <w:num w:numId="32">
    <w:abstractNumId w:val="45"/>
  </w:num>
  <w:num w:numId="33">
    <w:abstractNumId w:val="4"/>
  </w:num>
  <w:num w:numId="34">
    <w:abstractNumId w:val="24"/>
  </w:num>
  <w:num w:numId="35">
    <w:abstractNumId w:val="23"/>
  </w:num>
  <w:num w:numId="36">
    <w:abstractNumId w:val="46"/>
  </w:num>
  <w:num w:numId="37">
    <w:abstractNumId w:val="41"/>
  </w:num>
  <w:num w:numId="38">
    <w:abstractNumId w:val="7"/>
  </w:num>
  <w:num w:numId="39">
    <w:abstractNumId w:val="44"/>
  </w:num>
  <w:num w:numId="40">
    <w:abstractNumId w:val="27"/>
  </w:num>
  <w:num w:numId="41">
    <w:abstractNumId w:val="0"/>
  </w:num>
  <w:num w:numId="42">
    <w:abstractNumId w:val="29"/>
  </w:num>
  <w:num w:numId="43">
    <w:abstractNumId w:val="1"/>
  </w:num>
  <w:num w:numId="44">
    <w:abstractNumId w:val="22"/>
  </w:num>
  <w:num w:numId="45">
    <w:abstractNumId w:val="30"/>
  </w:num>
  <w:num w:numId="46">
    <w:abstractNumId w:val="26"/>
  </w:num>
  <w:num w:numId="47">
    <w:abstractNumId w:val="36"/>
  </w:num>
  <w:num w:numId="48">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8D"/>
    <w:rsid w:val="000028B2"/>
    <w:rsid w:val="00005086"/>
    <w:rsid w:val="0000624B"/>
    <w:rsid w:val="00006AB2"/>
    <w:rsid w:val="00006FF7"/>
    <w:rsid w:val="000072AD"/>
    <w:rsid w:val="000072E5"/>
    <w:rsid w:val="00010586"/>
    <w:rsid w:val="0001064C"/>
    <w:rsid w:val="000117A0"/>
    <w:rsid w:val="000119BC"/>
    <w:rsid w:val="00012BA5"/>
    <w:rsid w:val="000133A2"/>
    <w:rsid w:val="00015C0F"/>
    <w:rsid w:val="00016D49"/>
    <w:rsid w:val="0002595C"/>
    <w:rsid w:val="0002622D"/>
    <w:rsid w:val="000262E7"/>
    <w:rsid w:val="00026AEF"/>
    <w:rsid w:val="00027A45"/>
    <w:rsid w:val="000305D3"/>
    <w:rsid w:val="0003277D"/>
    <w:rsid w:val="000344FF"/>
    <w:rsid w:val="00035D8D"/>
    <w:rsid w:val="000366FD"/>
    <w:rsid w:val="0004128C"/>
    <w:rsid w:val="00041E30"/>
    <w:rsid w:val="00041FC2"/>
    <w:rsid w:val="00044417"/>
    <w:rsid w:val="00044FC9"/>
    <w:rsid w:val="00045C12"/>
    <w:rsid w:val="000464B4"/>
    <w:rsid w:val="000478B8"/>
    <w:rsid w:val="00050F18"/>
    <w:rsid w:val="00060E23"/>
    <w:rsid w:val="0006150A"/>
    <w:rsid w:val="000615ED"/>
    <w:rsid w:val="00061FC0"/>
    <w:rsid w:val="0006286F"/>
    <w:rsid w:val="000633CE"/>
    <w:rsid w:val="00063672"/>
    <w:rsid w:val="0006722A"/>
    <w:rsid w:val="00067D51"/>
    <w:rsid w:val="00071760"/>
    <w:rsid w:val="0007352F"/>
    <w:rsid w:val="00081E7B"/>
    <w:rsid w:val="000824A4"/>
    <w:rsid w:val="00085BCD"/>
    <w:rsid w:val="00090D65"/>
    <w:rsid w:val="00092934"/>
    <w:rsid w:val="00093261"/>
    <w:rsid w:val="00094A3C"/>
    <w:rsid w:val="000978F2"/>
    <w:rsid w:val="00097F7B"/>
    <w:rsid w:val="000A0C23"/>
    <w:rsid w:val="000A1062"/>
    <w:rsid w:val="000A1F1D"/>
    <w:rsid w:val="000A2862"/>
    <w:rsid w:val="000A45BE"/>
    <w:rsid w:val="000B04F9"/>
    <w:rsid w:val="000B16B9"/>
    <w:rsid w:val="000B3446"/>
    <w:rsid w:val="000B3841"/>
    <w:rsid w:val="000B48CD"/>
    <w:rsid w:val="000B6F7C"/>
    <w:rsid w:val="000C0A3E"/>
    <w:rsid w:val="000C19AB"/>
    <w:rsid w:val="000C1D06"/>
    <w:rsid w:val="000C1DB8"/>
    <w:rsid w:val="000C2268"/>
    <w:rsid w:val="000C53E1"/>
    <w:rsid w:val="000C540E"/>
    <w:rsid w:val="000C5E52"/>
    <w:rsid w:val="000D2D16"/>
    <w:rsid w:val="000D317A"/>
    <w:rsid w:val="000D4421"/>
    <w:rsid w:val="000D7950"/>
    <w:rsid w:val="000E036B"/>
    <w:rsid w:val="000E1AFE"/>
    <w:rsid w:val="000E24AD"/>
    <w:rsid w:val="000E3E1F"/>
    <w:rsid w:val="000E4BA7"/>
    <w:rsid w:val="000E725F"/>
    <w:rsid w:val="000F08C1"/>
    <w:rsid w:val="000F39D8"/>
    <w:rsid w:val="000F3B45"/>
    <w:rsid w:val="000F48E0"/>
    <w:rsid w:val="00101A3D"/>
    <w:rsid w:val="00101F74"/>
    <w:rsid w:val="00102507"/>
    <w:rsid w:val="00102644"/>
    <w:rsid w:val="001044AC"/>
    <w:rsid w:val="0010587B"/>
    <w:rsid w:val="001069C1"/>
    <w:rsid w:val="0010736E"/>
    <w:rsid w:val="0010746D"/>
    <w:rsid w:val="00111422"/>
    <w:rsid w:val="00111439"/>
    <w:rsid w:val="00113096"/>
    <w:rsid w:val="001149DB"/>
    <w:rsid w:val="001159EF"/>
    <w:rsid w:val="00117D70"/>
    <w:rsid w:val="001229F6"/>
    <w:rsid w:val="0012553E"/>
    <w:rsid w:val="00126404"/>
    <w:rsid w:val="00127847"/>
    <w:rsid w:val="001300BF"/>
    <w:rsid w:val="00131057"/>
    <w:rsid w:val="00133C31"/>
    <w:rsid w:val="0013454A"/>
    <w:rsid w:val="00134AD8"/>
    <w:rsid w:val="00135961"/>
    <w:rsid w:val="00142368"/>
    <w:rsid w:val="0014529E"/>
    <w:rsid w:val="0014559A"/>
    <w:rsid w:val="0015001E"/>
    <w:rsid w:val="00150CE5"/>
    <w:rsid w:val="00151331"/>
    <w:rsid w:val="001524F4"/>
    <w:rsid w:val="001526BA"/>
    <w:rsid w:val="00156B2E"/>
    <w:rsid w:val="00160C70"/>
    <w:rsid w:val="00163287"/>
    <w:rsid w:val="0016533F"/>
    <w:rsid w:val="00166912"/>
    <w:rsid w:val="001672CB"/>
    <w:rsid w:val="0017088F"/>
    <w:rsid w:val="00172DB2"/>
    <w:rsid w:val="001741D2"/>
    <w:rsid w:val="001752C3"/>
    <w:rsid w:val="0017764F"/>
    <w:rsid w:val="00180073"/>
    <w:rsid w:val="00183752"/>
    <w:rsid w:val="0018399E"/>
    <w:rsid w:val="0018426B"/>
    <w:rsid w:val="00185BE6"/>
    <w:rsid w:val="00187BC3"/>
    <w:rsid w:val="0019436D"/>
    <w:rsid w:val="00194415"/>
    <w:rsid w:val="001A1009"/>
    <w:rsid w:val="001A1C91"/>
    <w:rsid w:val="001A2145"/>
    <w:rsid w:val="001A3D44"/>
    <w:rsid w:val="001A650B"/>
    <w:rsid w:val="001A6A68"/>
    <w:rsid w:val="001A7964"/>
    <w:rsid w:val="001A7E14"/>
    <w:rsid w:val="001A7E99"/>
    <w:rsid w:val="001B086B"/>
    <w:rsid w:val="001B0CAE"/>
    <w:rsid w:val="001B1D37"/>
    <w:rsid w:val="001B1D80"/>
    <w:rsid w:val="001B22D0"/>
    <w:rsid w:val="001B2699"/>
    <w:rsid w:val="001B4533"/>
    <w:rsid w:val="001B61E2"/>
    <w:rsid w:val="001B7CC0"/>
    <w:rsid w:val="001C038D"/>
    <w:rsid w:val="001C1B3B"/>
    <w:rsid w:val="001C1F76"/>
    <w:rsid w:val="001C3A44"/>
    <w:rsid w:val="001C558F"/>
    <w:rsid w:val="001C7C6B"/>
    <w:rsid w:val="001D23D9"/>
    <w:rsid w:val="001D2BB7"/>
    <w:rsid w:val="001D30D5"/>
    <w:rsid w:val="001D38C8"/>
    <w:rsid w:val="001D4694"/>
    <w:rsid w:val="001E3CB8"/>
    <w:rsid w:val="001E488A"/>
    <w:rsid w:val="001E68EF"/>
    <w:rsid w:val="001F1EB2"/>
    <w:rsid w:val="001F2723"/>
    <w:rsid w:val="00200E94"/>
    <w:rsid w:val="002010BB"/>
    <w:rsid w:val="002026DD"/>
    <w:rsid w:val="00202B7E"/>
    <w:rsid w:val="00202EA2"/>
    <w:rsid w:val="002035A7"/>
    <w:rsid w:val="00204386"/>
    <w:rsid w:val="00204539"/>
    <w:rsid w:val="0020647A"/>
    <w:rsid w:val="00207196"/>
    <w:rsid w:val="002105DE"/>
    <w:rsid w:val="00210E9B"/>
    <w:rsid w:val="00215F2E"/>
    <w:rsid w:val="00221083"/>
    <w:rsid w:val="002211DA"/>
    <w:rsid w:val="00222915"/>
    <w:rsid w:val="00222C4F"/>
    <w:rsid w:val="002245A9"/>
    <w:rsid w:val="00226356"/>
    <w:rsid w:val="00227F1D"/>
    <w:rsid w:val="00230EB6"/>
    <w:rsid w:val="00232E82"/>
    <w:rsid w:val="002353A3"/>
    <w:rsid w:val="00236915"/>
    <w:rsid w:val="002440E9"/>
    <w:rsid w:val="00247662"/>
    <w:rsid w:val="00250B7B"/>
    <w:rsid w:val="00252E0F"/>
    <w:rsid w:val="00255BB2"/>
    <w:rsid w:val="002573FA"/>
    <w:rsid w:val="002617EA"/>
    <w:rsid w:val="00261B6C"/>
    <w:rsid w:val="00262D92"/>
    <w:rsid w:val="00262E69"/>
    <w:rsid w:val="00263268"/>
    <w:rsid w:val="0026425F"/>
    <w:rsid w:val="00265EE5"/>
    <w:rsid w:val="00267149"/>
    <w:rsid w:val="002709E7"/>
    <w:rsid w:val="002717DD"/>
    <w:rsid w:val="00272557"/>
    <w:rsid w:val="002735B6"/>
    <w:rsid w:val="00273F42"/>
    <w:rsid w:val="00274E71"/>
    <w:rsid w:val="002760A6"/>
    <w:rsid w:val="002767A5"/>
    <w:rsid w:val="00277072"/>
    <w:rsid w:val="00281DF6"/>
    <w:rsid w:val="0028391F"/>
    <w:rsid w:val="00285E11"/>
    <w:rsid w:val="002861F2"/>
    <w:rsid w:val="002948B1"/>
    <w:rsid w:val="00295E51"/>
    <w:rsid w:val="002979C9"/>
    <w:rsid w:val="002A1324"/>
    <w:rsid w:val="002A2507"/>
    <w:rsid w:val="002A2C26"/>
    <w:rsid w:val="002A5599"/>
    <w:rsid w:val="002A6344"/>
    <w:rsid w:val="002A702B"/>
    <w:rsid w:val="002A73E7"/>
    <w:rsid w:val="002B1097"/>
    <w:rsid w:val="002B11A0"/>
    <w:rsid w:val="002B4C88"/>
    <w:rsid w:val="002B79BF"/>
    <w:rsid w:val="002C144A"/>
    <w:rsid w:val="002C14D4"/>
    <w:rsid w:val="002C1F29"/>
    <w:rsid w:val="002C3A9B"/>
    <w:rsid w:val="002C58E5"/>
    <w:rsid w:val="002C5FB3"/>
    <w:rsid w:val="002C6409"/>
    <w:rsid w:val="002D33F7"/>
    <w:rsid w:val="002D5B78"/>
    <w:rsid w:val="002E1EE9"/>
    <w:rsid w:val="002E26BB"/>
    <w:rsid w:val="002E38F0"/>
    <w:rsid w:val="002E6890"/>
    <w:rsid w:val="002E701B"/>
    <w:rsid w:val="002F151B"/>
    <w:rsid w:val="002F3021"/>
    <w:rsid w:val="002F30BB"/>
    <w:rsid w:val="002F4533"/>
    <w:rsid w:val="002F5084"/>
    <w:rsid w:val="002F5ACD"/>
    <w:rsid w:val="00300A49"/>
    <w:rsid w:val="00303124"/>
    <w:rsid w:val="00306781"/>
    <w:rsid w:val="00306E58"/>
    <w:rsid w:val="003070C7"/>
    <w:rsid w:val="0030749A"/>
    <w:rsid w:val="00307B7A"/>
    <w:rsid w:val="00307E42"/>
    <w:rsid w:val="0031478A"/>
    <w:rsid w:val="00315382"/>
    <w:rsid w:val="0031721D"/>
    <w:rsid w:val="00322C54"/>
    <w:rsid w:val="00323B6D"/>
    <w:rsid w:val="00323E37"/>
    <w:rsid w:val="00327027"/>
    <w:rsid w:val="00331FFB"/>
    <w:rsid w:val="003340C0"/>
    <w:rsid w:val="003351AF"/>
    <w:rsid w:val="0033594C"/>
    <w:rsid w:val="00335CC8"/>
    <w:rsid w:val="00345561"/>
    <w:rsid w:val="00345893"/>
    <w:rsid w:val="0034745F"/>
    <w:rsid w:val="00350676"/>
    <w:rsid w:val="00350E7D"/>
    <w:rsid w:val="00350FAB"/>
    <w:rsid w:val="00351D2B"/>
    <w:rsid w:val="003535A6"/>
    <w:rsid w:val="00355517"/>
    <w:rsid w:val="00356431"/>
    <w:rsid w:val="00356BAD"/>
    <w:rsid w:val="00357FBA"/>
    <w:rsid w:val="003603F1"/>
    <w:rsid w:val="003638B1"/>
    <w:rsid w:val="0036421C"/>
    <w:rsid w:val="003677EE"/>
    <w:rsid w:val="00367F99"/>
    <w:rsid w:val="003726E5"/>
    <w:rsid w:val="00377740"/>
    <w:rsid w:val="0038134A"/>
    <w:rsid w:val="003827E5"/>
    <w:rsid w:val="00383AEE"/>
    <w:rsid w:val="0038423F"/>
    <w:rsid w:val="00384629"/>
    <w:rsid w:val="00384B3C"/>
    <w:rsid w:val="00385287"/>
    <w:rsid w:val="00385B55"/>
    <w:rsid w:val="00390908"/>
    <w:rsid w:val="00392595"/>
    <w:rsid w:val="0039288D"/>
    <w:rsid w:val="00393D68"/>
    <w:rsid w:val="0039693B"/>
    <w:rsid w:val="003A074C"/>
    <w:rsid w:val="003A180D"/>
    <w:rsid w:val="003A319A"/>
    <w:rsid w:val="003A3D53"/>
    <w:rsid w:val="003A5DB9"/>
    <w:rsid w:val="003A7663"/>
    <w:rsid w:val="003A7C32"/>
    <w:rsid w:val="003B0CF3"/>
    <w:rsid w:val="003B2093"/>
    <w:rsid w:val="003B27EB"/>
    <w:rsid w:val="003B486D"/>
    <w:rsid w:val="003B4B65"/>
    <w:rsid w:val="003B4C86"/>
    <w:rsid w:val="003B5113"/>
    <w:rsid w:val="003B6B84"/>
    <w:rsid w:val="003B6F54"/>
    <w:rsid w:val="003C0948"/>
    <w:rsid w:val="003C1DA8"/>
    <w:rsid w:val="003C5CFD"/>
    <w:rsid w:val="003C69C9"/>
    <w:rsid w:val="003C76F2"/>
    <w:rsid w:val="003C7D4F"/>
    <w:rsid w:val="003D09EC"/>
    <w:rsid w:val="003D0DE0"/>
    <w:rsid w:val="003D2AA0"/>
    <w:rsid w:val="003D2D09"/>
    <w:rsid w:val="003D5880"/>
    <w:rsid w:val="003D73FC"/>
    <w:rsid w:val="003D7DFB"/>
    <w:rsid w:val="003E2927"/>
    <w:rsid w:val="003E3A07"/>
    <w:rsid w:val="003E4D0C"/>
    <w:rsid w:val="003F10CA"/>
    <w:rsid w:val="003F1504"/>
    <w:rsid w:val="003F3799"/>
    <w:rsid w:val="003F4371"/>
    <w:rsid w:val="003F46F5"/>
    <w:rsid w:val="003F4EEB"/>
    <w:rsid w:val="003F6A58"/>
    <w:rsid w:val="003F7FBB"/>
    <w:rsid w:val="00401ED5"/>
    <w:rsid w:val="00405AEE"/>
    <w:rsid w:val="00405DEB"/>
    <w:rsid w:val="0040618D"/>
    <w:rsid w:val="00406FEA"/>
    <w:rsid w:val="0041077C"/>
    <w:rsid w:val="004135E2"/>
    <w:rsid w:val="0041431C"/>
    <w:rsid w:val="00414360"/>
    <w:rsid w:val="0042168D"/>
    <w:rsid w:val="00424C4A"/>
    <w:rsid w:val="00426A26"/>
    <w:rsid w:val="0042718C"/>
    <w:rsid w:val="004301BA"/>
    <w:rsid w:val="0043063B"/>
    <w:rsid w:val="004306D9"/>
    <w:rsid w:val="004336EC"/>
    <w:rsid w:val="00433E98"/>
    <w:rsid w:val="004347B0"/>
    <w:rsid w:val="00434AEB"/>
    <w:rsid w:val="00436A77"/>
    <w:rsid w:val="004373F1"/>
    <w:rsid w:val="004412E8"/>
    <w:rsid w:val="00442C0D"/>
    <w:rsid w:val="00443695"/>
    <w:rsid w:val="0044538C"/>
    <w:rsid w:val="0044567F"/>
    <w:rsid w:val="00445BCF"/>
    <w:rsid w:val="00452761"/>
    <w:rsid w:val="00452C67"/>
    <w:rsid w:val="00453F90"/>
    <w:rsid w:val="00454D20"/>
    <w:rsid w:val="00454FA9"/>
    <w:rsid w:val="00460403"/>
    <w:rsid w:val="00463686"/>
    <w:rsid w:val="00463BBE"/>
    <w:rsid w:val="00464220"/>
    <w:rsid w:val="004659BE"/>
    <w:rsid w:val="00465F3B"/>
    <w:rsid w:val="0046605D"/>
    <w:rsid w:val="004724A0"/>
    <w:rsid w:val="00472BF0"/>
    <w:rsid w:val="00473A9F"/>
    <w:rsid w:val="00474677"/>
    <w:rsid w:val="0047526F"/>
    <w:rsid w:val="00476220"/>
    <w:rsid w:val="004772A6"/>
    <w:rsid w:val="00477B17"/>
    <w:rsid w:val="004810CE"/>
    <w:rsid w:val="004839C8"/>
    <w:rsid w:val="004853C0"/>
    <w:rsid w:val="004878BB"/>
    <w:rsid w:val="00490064"/>
    <w:rsid w:val="00490F37"/>
    <w:rsid w:val="00491456"/>
    <w:rsid w:val="00491EE1"/>
    <w:rsid w:val="00492618"/>
    <w:rsid w:val="00493494"/>
    <w:rsid w:val="00494916"/>
    <w:rsid w:val="00494DA1"/>
    <w:rsid w:val="00497236"/>
    <w:rsid w:val="004972B2"/>
    <w:rsid w:val="004A0137"/>
    <w:rsid w:val="004A1283"/>
    <w:rsid w:val="004A4072"/>
    <w:rsid w:val="004A44F0"/>
    <w:rsid w:val="004A78E5"/>
    <w:rsid w:val="004B04BD"/>
    <w:rsid w:val="004B054C"/>
    <w:rsid w:val="004B2C78"/>
    <w:rsid w:val="004B2D60"/>
    <w:rsid w:val="004B5C9D"/>
    <w:rsid w:val="004B5E23"/>
    <w:rsid w:val="004B5FA3"/>
    <w:rsid w:val="004B7BD2"/>
    <w:rsid w:val="004C1295"/>
    <w:rsid w:val="004C23C2"/>
    <w:rsid w:val="004C315E"/>
    <w:rsid w:val="004C67C8"/>
    <w:rsid w:val="004C6CC2"/>
    <w:rsid w:val="004C72A5"/>
    <w:rsid w:val="004C73E1"/>
    <w:rsid w:val="004C783A"/>
    <w:rsid w:val="004D193B"/>
    <w:rsid w:val="004D5909"/>
    <w:rsid w:val="004D5B67"/>
    <w:rsid w:val="004D6514"/>
    <w:rsid w:val="004E4D06"/>
    <w:rsid w:val="004E513F"/>
    <w:rsid w:val="004E5BE0"/>
    <w:rsid w:val="004E68C3"/>
    <w:rsid w:val="004F0212"/>
    <w:rsid w:val="004F3707"/>
    <w:rsid w:val="004F4EC1"/>
    <w:rsid w:val="004F5A08"/>
    <w:rsid w:val="005000B1"/>
    <w:rsid w:val="005007DD"/>
    <w:rsid w:val="00500EC9"/>
    <w:rsid w:val="00503AD1"/>
    <w:rsid w:val="00504DFF"/>
    <w:rsid w:val="00506EB6"/>
    <w:rsid w:val="005115B1"/>
    <w:rsid w:val="00512461"/>
    <w:rsid w:val="00512E98"/>
    <w:rsid w:val="00515965"/>
    <w:rsid w:val="005174A8"/>
    <w:rsid w:val="0051792E"/>
    <w:rsid w:val="00520530"/>
    <w:rsid w:val="0052090A"/>
    <w:rsid w:val="00520B31"/>
    <w:rsid w:val="005216BF"/>
    <w:rsid w:val="00521C30"/>
    <w:rsid w:val="00522050"/>
    <w:rsid w:val="00522D5D"/>
    <w:rsid w:val="005245A1"/>
    <w:rsid w:val="00526F79"/>
    <w:rsid w:val="005272A8"/>
    <w:rsid w:val="00527926"/>
    <w:rsid w:val="00527A34"/>
    <w:rsid w:val="00530525"/>
    <w:rsid w:val="00531654"/>
    <w:rsid w:val="00531C7F"/>
    <w:rsid w:val="00532D11"/>
    <w:rsid w:val="005347AD"/>
    <w:rsid w:val="00534945"/>
    <w:rsid w:val="00535310"/>
    <w:rsid w:val="0053772A"/>
    <w:rsid w:val="005377DE"/>
    <w:rsid w:val="00537A4A"/>
    <w:rsid w:val="00537BF5"/>
    <w:rsid w:val="00544ACA"/>
    <w:rsid w:val="005539FB"/>
    <w:rsid w:val="00554BB4"/>
    <w:rsid w:val="00555AC4"/>
    <w:rsid w:val="00555EC2"/>
    <w:rsid w:val="00556999"/>
    <w:rsid w:val="00556F9B"/>
    <w:rsid w:val="00557995"/>
    <w:rsid w:val="00562674"/>
    <w:rsid w:val="00562D39"/>
    <w:rsid w:val="00562F02"/>
    <w:rsid w:val="005657C4"/>
    <w:rsid w:val="005674C0"/>
    <w:rsid w:val="00567692"/>
    <w:rsid w:val="00570823"/>
    <w:rsid w:val="005713D0"/>
    <w:rsid w:val="00571B66"/>
    <w:rsid w:val="00574D8C"/>
    <w:rsid w:val="00576A54"/>
    <w:rsid w:val="00577400"/>
    <w:rsid w:val="00577C37"/>
    <w:rsid w:val="0058087A"/>
    <w:rsid w:val="00580D80"/>
    <w:rsid w:val="005835FC"/>
    <w:rsid w:val="00583928"/>
    <w:rsid w:val="00584A7F"/>
    <w:rsid w:val="00586D44"/>
    <w:rsid w:val="00590761"/>
    <w:rsid w:val="0059109A"/>
    <w:rsid w:val="005912D2"/>
    <w:rsid w:val="00591C76"/>
    <w:rsid w:val="0059229F"/>
    <w:rsid w:val="0059389D"/>
    <w:rsid w:val="00594DD6"/>
    <w:rsid w:val="005968DA"/>
    <w:rsid w:val="00596985"/>
    <w:rsid w:val="005A0AD0"/>
    <w:rsid w:val="005A1178"/>
    <w:rsid w:val="005A474C"/>
    <w:rsid w:val="005A6053"/>
    <w:rsid w:val="005A63C1"/>
    <w:rsid w:val="005A7179"/>
    <w:rsid w:val="005B4BC6"/>
    <w:rsid w:val="005B6C38"/>
    <w:rsid w:val="005C1577"/>
    <w:rsid w:val="005C1E38"/>
    <w:rsid w:val="005C442E"/>
    <w:rsid w:val="005C775D"/>
    <w:rsid w:val="005D0573"/>
    <w:rsid w:val="005D33D5"/>
    <w:rsid w:val="005D6E55"/>
    <w:rsid w:val="005D7A87"/>
    <w:rsid w:val="005D7C60"/>
    <w:rsid w:val="005E1544"/>
    <w:rsid w:val="005E24E2"/>
    <w:rsid w:val="005E5025"/>
    <w:rsid w:val="005F3330"/>
    <w:rsid w:val="00604E45"/>
    <w:rsid w:val="00605D75"/>
    <w:rsid w:val="00605F53"/>
    <w:rsid w:val="00607B5A"/>
    <w:rsid w:val="00614236"/>
    <w:rsid w:val="00615246"/>
    <w:rsid w:val="006157B1"/>
    <w:rsid w:val="00615963"/>
    <w:rsid w:val="006162CD"/>
    <w:rsid w:val="0061772F"/>
    <w:rsid w:val="00621053"/>
    <w:rsid w:val="00622C72"/>
    <w:rsid w:val="006250C8"/>
    <w:rsid w:val="0062573C"/>
    <w:rsid w:val="00625A87"/>
    <w:rsid w:val="00626D41"/>
    <w:rsid w:val="00631E3B"/>
    <w:rsid w:val="00635AEA"/>
    <w:rsid w:val="00641E07"/>
    <w:rsid w:val="0064205D"/>
    <w:rsid w:val="00642C72"/>
    <w:rsid w:val="006441DB"/>
    <w:rsid w:val="00645720"/>
    <w:rsid w:val="00646631"/>
    <w:rsid w:val="0064673A"/>
    <w:rsid w:val="0064755D"/>
    <w:rsid w:val="00647587"/>
    <w:rsid w:val="00651ADF"/>
    <w:rsid w:val="00651D00"/>
    <w:rsid w:val="00653592"/>
    <w:rsid w:val="00653EEF"/>
    <w:rsid w:val="0065592E"/>
    <w:rsid w:val="00655A14"/>
    <w:rsid w:val="0066182D"/>
    <w:rsid w:val="00661AC2"/>
    <w:rsid w:val="00663255"/>
    <w:rsid w:val="0066547D"/>
    <w:rsid w:val="00671AB3"/>
    <w:rsid w:val="00672BEB"/>
    <w:rsid w:val="0067437B"/>
    <w:rsid w:val="00674607"/>
    <w:rsid w:val="00675576"/>
    <w:rsid w:val="0067616A"/>
    <w:rsid w:val="00680E0C"/>
    <w:rsid w:val="00681EC5"/>
    <w:rsid w:val="00682371"/>
    <w:rsid w:val="006826E3"/>
    <w:rsid w:val="00683756"/>
    <w:rsid w:val="006853D6"/>
    <w:rsid w:val="00686BE0"/>
    <w:rsid w:val="00690F30"/>
    <w:rsid w:val="006920BD"/>
    <w:rsid w:val="00693170"/>
    <w:rsid w:val="00693321"/>
    <w:rsid w:val="00697E23"/>
    <w:rsid w:val="006A06E7"/>
    <w:rsid w:val="006A260B"/>
    <w:rsid w:val="006A316A"/>
    <w:rsid w:val="006A42ED"/>
    <w:rsid w:val="006A7C9B"/>
    <w:rsid w:val="006B0010"/>
    <w:rsid w:val="006B1869"/>
    <w:rsid w:val="006B536D"/>
    <w:rsid w:val="006B6BBB"/>
    <w:rsid w:val="006C5537"/>
    <w:rsid w:val="006C6D36"/>
    <w:rsid w:val="006C7E9E"/>
    <w:rsid w:val="006D2AFA"/>
    <w:rsid w:val="006D2D4E"/>
    <w:rsid w:val="006D3597"/>
    <w:rsid w:val="006D4935"/>
    <w:rsid w:val="006D7391"/>
    <w:rsid w:val="006E1FB6"/>
    <w:rsid w:val="006E45EE"/>
    <w:rsid w:val="006E4EEA"/>
    <w:rsid w:val="006E6F25"/>
    <w:rsid w:val="006E7A6C"/>
    <w:rsid w:val="006E7F2D"/>
    <w:rsid w:val="006F02EB"/>
    <w:rsid w:val="006F05ED"/>
    <w:rsid w:val="006F1E37"/>
    <w:rsid w:val="006F306D"/>
    <w:rsid w:val="006F54DD"/>
    <w:rsid w:val="006F6116"/>
    <w:rsid w:val="006F62B3"/>
    <w:rsid w:val="006F6A41"/>
    <w:rsid w:val="006F77D9"/>
    <w:rsid w:val="006F7821"/>
    <w:rsid w:val="00705759"/>
    <w:rsid w:val="0070663F"/>
    <w:rsid w:val="00706A2C"/>
    <w:rsid w:val="007076AD"/>
    <w:rsid w:val="00710417"/>
    <w:rsid w:val="007107F1"/>
    <w:rsid w:val="00713691"/>
    <w:rsid w:val="007137C6"/>
    <w:rsid w:val="00714DCD"/>
    <w:rsid w:val="0071557C"/>
    <w:rsid w:val="007155C3"/>
    <w:rsid w:val="00716E4D"/>
    <w:rsid w:val="007176E0"/>
    <w:rsid w:val="00722EEB"/>
    <w:rsid w:val="00726037"/>
    <w:rsid w:val="00732426"/>
    <w:rsid w:val="0073410D"/>
    <w:rsid w:val="00734DF8"/>
    <w:rsid w:val="00735975"/>
    <w:rsid w:val="007415C7"/>
    <w:rsid w:val="00741635"/>
    <w:rsid w:val="00741FD2"/>
    <w:rsid w:val="00742664"/>
    <w:rsid w:val="007428D6"/>
    <w:rsid w:val="0074326D"/>
    <w:rsid w:val="007442A6"/>
    <w:rsid w:val="00744EF3"/>
    <w:rsid w:val="007516BA"/>
    <w:rsid w:val="0075244B"/>
    <w:rsid w:val="00753DED"/>
    <w:rsid w:val="0075461E"/>
    <w:rsid w:val="00761566"/>
    <w:rsid w:val="00761BDB"/>
    <w:rsid w:val="00763A81"/>
    <w:rsid w:val="00763C3F"/>
    <w:rsid w:val="00764E0D"/>
    <w:rsid w:val="00765341"/>
    <w:rsid w:val="0076588D"/>
    <w:rsid w:val="007669F2"/>
    <w:rsid w:val="00766A21"/>
    <w:rsid w:val="00767247"/>
    <w:rsid w:val="007709B6"/>
    <w:rsid w:val="007715EA"/>
    <w:rsid w:val="00772798"/>
    <w:rsid w:val="00772B3F"/>
    <w:rsid w:val="00774FCA"/>
    <w:rsid w:val="007774AD"/>
    <w:rsid w:val="00781856"/>
    <w:rsid w:val="0078785D"/>
    <w:rsid w:val="007902B8"/>
    <w:rsid w:val="00790E5F"/>
    <w:rsid w:val="007919CF"/>
    <w:rsid w:val="007957CF"/>
    <w:rsid w:val="00796377"/>
    <w:rsid w:val="00797226"/>
    <w:rsid w:val="007A3EC4"/>
    <w:rsid w:val="007A6E12"/>
    <w:rsid w:val="007B0398"/>
    <w:rsid w:val="007B0DE9"/>
    <w:rsid w:val="007B260C"/>
    <w:rsid w:val="007B2937"/>
    <w:rsid w:val="007B3E58"/>
    <w:rsid w:val="007B49DA"/>
    <w:rsid w:val="007B52FC"/>
    <w:rsid w:val="007B55A8"/>
    <w:rsid w:val="007C0317"/>
    <w:rsid w:val="007C09C5"/>
    <w:rsid w:val="007C2BD2"/>
    <w:rsid w:val="007C59A4"/>
    <w:rsid w:val="007D052F"/>
    <w:rsid w:val="007D2137"/>
    <w:rsid w:val="007D3A34"/>
    <w:rsid w:val="007D6566"/>
    <w:rsid w:val="007E2801"/>
    <w:rsid w:val="007E2E20"/>
    <w:rsid w:val="007E3021"/>
    <w:rsid w:val="007E4656"/>
    <w:rsid w:val="007E46A7"/>
    <w:rsid w:val="007E57C7"/>
    <w:rsid w:val="007E7348"/>
    <w:rsid w:val="007F078C"/>
    <w:rsid w:val="007F336C"/>
    <w:rsid w:val="007F5564"/>
    <w:rsid w:val="007F610D"/>
    <w:rsid w:val="007F69EE"/>
    <w:rsid w:val="008010D1"/>
    <w:rsid w:val="00801B41"/>
    <w:rsid w:val="0080355F"/>
    <w:rsid w:val="00803B12"/>
    <w:rsid w:val="00804146"/>
    <w:rsid w:val="00805D5C"/>
    <w:rsid w:val="00806674"/>
    <w:rsid w:val="00806CBE"/>
    <w:rsid w:val="00810542"/>
    <w:rsid w:val="00810C03"/>
    <w:rsid w:val="008136B7"/>
    <w:rsid w:val="008146E0"/>
    <w:rsid w:val="00815614"/>
    <w:rsid w:val="00816F71"/>
    <w:rsid w:val="00817559"/>
    <w:rsid w:val="0082196A"/>
    <w:rsid w:val="0082476B"/>
    <w:rsid w:val="00826711"/>
    <w:rsid w:val="00827C55"/>
    <w:rsid w:val="008304D9"/>
    <w:rsid w:val="00830F08"/>
    <w:rsid w:val="0083137A"/>
    <w:rsid w:val="0083195F"/>
    <w:rsid w:val="00832CC2"/>
    <w:rsid w:val="00834548"/>
    <w:rsid w:val="00834811"/>
    <w:rsid w:val="00834FA9"/>
    <w:rsid w:val="00835B86"/>
    <w:rsid w:val="00836994"/>
    <w:rsid w:val="008410CA"/>
    <w:rsid w:val="0084174B"/>
    <w:rsid w:val="00845161"/>
    <w:rsid w:val="0084677D"/>
    <w:rsid w:val="008467F3"/>
    <w:rsid w:val="00847B5D"/>
    <w:rsid w:val="0085035F"/>
    <w:rsid w:val="00854750"/>
    <w:rsid w:val="00854DE6"/>
    <w:rsid w:val="00855FB6"/>
    <w:rsid w:val="0086420F"/>
    <w:rsid w:val="0086544D"/>
    <w:rsid w:val="00865B1D"/>
    <w:rsid w:val="00866E2C"/>
    <w:rsid w:val="008705F5"/>
    <w:rsid w:val="008716B3"/>
    <w:rsid w:val="00873618"/>
    <w:rsid w:val="008742D2"/>
    <w:rsid w:val="0087473C"/>
    <w:rsid w:val="0087769D"/>
    <w:rsid w:val="00877706"/>
    <w:rsid w:val="00877DFC"/>
    <w:rsid w:val="00880688"/>
    <w:rsid w:val="00880BD4"/>
    <w:rsid w:val="00880D2B"/>
    <w:rsid w:val="008811CD"/>
    <w:rsid w:val="00883FEC"/>
    <w:rsid w:val="00884024"/>
    <w:rsid w:val="00884348"/>
    <w:rsid w:val="00884624"/>
    <w:rsid w:val="0088543E"/>
    <w:rsid w:val="00887570"/>
    <w:rsid w:val="00891BB2"/>
    <w:rsid w:val="008924AF"/>
    <w:rsid w:val="00893AA7"/>
    <w:rsid w:val="008959B2"/>
    <w:rsid w:val="008975F0"/>
    <w:rsid w:val="008979A8"/>
    <w:rsid w:val="008A12A3"/>
    <w:rsid w:val="008A1812"/>
    <w:rsid w:val="008A52EA"/>
    <w:rsid w:val="008B05F3"/>
    <w:rsid w:val="008B228B"/>
    <w:rsid w:val="008B5ED6"/>
    <w:rsid w:val="008B6AA5"/>
    <w:rsid w:val="008B6F45"/>
    <w:rsid w:val="008C5AEB"/>
    <w:rsid w:val="008D3F81"/>
    <w:rsid w:val="008D4760"/>
    <w:rsid w:val="008D7610"/>
    <w:rsid w:val="008D7CF6"/>
    <w:rsid w:val="008E003D"/>
    <w:rsid w:val="008E0617"/>
    <w:rsid w:val="008E1DB1"/>
    <w:rsid w:val="008E315C"/>
    <w:rsid w:val="008E4116"/>
    <w:rsid w:val="008E45E1"/>
    <w:rsid w:val="008F2928"/>
    <w:rsid w:val="008F485A"/>
    <w:rsid w:val="008F4AB1"/>
    <w:rsid w:val="008F4D7C"/>
    <w:rsid w:val="008F5375"/>
    <w:rsid w:val="00900636"/>
    <w:rsid w:val="00900C6A"/>
    <w:rsid w:val="0090176A"/>
    <w:rsid w:val="00903796"/>
    <w:rsid w:val="009053E6"/>
    <w:rsid w:val="00906122"/>
    <w:rsid w:val="00906CEC"/>
    <w:rsid w:val="0090785D"/>
    <w:rsid w:val="0091084C"/>
    <w:rsid w:val="00910CF0"/>
    <w:rsid w:val="00910FDB"/>
    <w:rsid w:val="00911FC7"/>
    <w:rsid w:val="00912C40"/>
    <w:rsid w:val="00913492"/>
    <w:rsid w:val="00914E93"/>
    <w:rsid w:val="00922AB5"/>
    <w:rsid w:val="009255A4"/>
    <w:rsid w:val="00925A9D"/>
    <w:rsid w:val="00925EAC"/>
    <w:rsid w:val="00931706"/>
    <w:rsid w:val="009319CC"/>
    <w:rsid w:val="00932A7F"/>
    <w:rsid w:val="00933395"/>
    <w:rsid w:val="0093443E"/>
    <w:rsid w:val="0093517A"/>
    <w:rsid w:val="00936B7E"/>
    <w:rsid w:val="00936D45"/>
    <w:rsid w:val="00937B44"/>
    <w:rsid w:val="009413D3"/>
    <w:rsid w:val="009415A9"/>
    <w:rsid w:val="00943314"/>
    <w:rsid w:val="0094534E"/>
    <w:rsid w:val="009455C3"/>
    <w:rsid w:val="00946E43"/>
    <w:rsid w:val="0095030B"/>
    <w:rsid w:val="00951AD6"/>
    <w:rsid w:val="009531F3"/>
    <w:rsid w:val="0095696B"/>
    <w:rsid w:val="00957398"/>
    <w:rsid w:val="0096076B"/>
    <w:rsid w:val="00960909"/>
    <w:rsid w:val="00963D81"/>
    <w:rsid w:val="009647E1"/>
    <w:rsid w:val="00964E84"/>
    <w:rsid w:val="009652FD"/>
    <w:rsid w:val="009660EF"/>
    <w:rsid w:val="00966EF8"/>
    <w:rsid w:val="0096726D"/>
    <w:rsid w:val="00967C1A"/>
    <w:rsid w:val="0097043B"/>
    <w:rsid w:val="00972FF9"/>
    <w:rsid w:val="00973D62"/>
    <w:rsid w:val="009748CF"/>
    <w:rsid w:val="00974CC6"/>
    <w:rsid w:val="009758DB"/>
    <w:rsid w:val="0097601E"/>
    <w:rsid w:val="009768B4"/>
    <w:rsid w:val="0098034D"/>
    <w:rsid w:val="00981EE8"/>
    <w:rsid w:val="00983304"/>
    <w:rsid w:val="009838C1"/>
    <w:rsid w:val="00983A68"/>
    <w:rsid w:val="009866A5"/>
    <w:rsid w:val="009877B6"/>
    <w:rsid w:val="0099000B"/>
    <w:rsid w:val="0099178F"/>
    <w:rsid w:val="00993817"/>
    <w:rsid w:val="009948B4"/>
    <w:rsid w:val="00996B5B"/>
    <w:rsid w:val="009A119A"/>
    <w:rsid w:val="009A19C9"/>
    <w:rsid w:val="009A2F62"/>
    <w:rsid w:val="009A4DEB"/>
    <w:rsid w:val="009A7EE6"/>
    <w:rsid w:val="009B3648"/>
    <w:rsid w:val="009B4714"/>
    <w:rsid w:val="009B6326"/>
    <w:rsid w:val="009B6C65"/>
    <w:rsid w:val="009C1013"/>
    <w:rsid w:val="009C1F93"/>
    <w:rsid w:val="009C3F68"/>
    <w:rsid w:val="009C40C5"/>
    <w:rsid w:val="009C434D"/>
    <w:rsid w:val="009C62AF"/>
    <w:rsid w:val="009C68D7"/>
    <w:rsid w:val="009D01B3"/>
    <w:rsid w:val="009D0CF2"/>
    <w:rsid w:val="009D2C41"/>
    <w:rsid w:val="009D3AC6"/>
    <w:rsid w:val="009D664C"/>
    <w:rsid w:val="009E28D3"/>
    <w:rsid w:val="009E3893"/>
    <w:rsid w:val="009E4760"/>
    <w:rsid w:val="009E4825"/>
    <w:rsid w:val="009E4A3B"/>
    <w:rsid w:val="009E4B7B"/>
    <w:rsid w:val="009F40CF"/>
    <w:rsid w:val="009F4310"/>
    <w:rsid w:val="009F4E7E"/>
    <w:rsid w:val="009F520E"/>
    <w:rsid w:val="009F777F"/>
    <w:rsid w:val="00A0076C"/>
    <w:rsid w:val="00A00FAE"/>
    <w:rsid w:val="00A03231"/>
    <w:rsid w:val="00A04183"/>
    <w:rsid w:val="00A04370"/>
    <w:rsid w:val="00A05F2C"/>
    <w:rsid w:val="00A06DB0"/>
    <w:rsid w:val="00A07518"/>
    <w:rsid w:val="00A104A8"/>
    <w:rsid w:val="00A104FA"/>
    <w:rsid w:val="00A156A5"/>
    <w:rsid w:val="00A1650E"/>
    <w:rsid w:val="00A172B1"/>
    <w:rsid w:val="00A2163B"/>
    <w:rsid w:val="00A22501"/>
    <w:rsid w:val="00A23B8E"/>
    <w:rsid w:val="00A25628"/>
    <w:rsid w:val="00A25EEC"/>
    <w:rsid w:val="00A30DB5"/>
    <w:rsid w:val="00A3226F"/>
    <w:rsid w:val="00A323FD"/>
    <w:rsid w:val="00A35B40"/>
    <w:rsid w:val="00A4000F"/>
    <w:rsid w:val="00A4318D"/>
    <w:rsid w:val="00A46430"/>
    <w:rsid w:val="00A46DB1"/>
    <w:rsid w:val="00A47090"/>
    <w:rsid w:val="00A50B2F"/>
    <w:rsid w:val="00A53F7A"/>
    <w:rsid w:val="00A5611F"/>
    <w:rsid w:val="00A56727"/>
    <w:rsid w:val="00A573DD"/>
    <w:rsid w:val="00A60141"/>
    <w:rsid w:val="00A6063C"/>
    <w:rsid w:val="00A606A8"/>
    <w:rsid w:val="00A6106D"/>
    <w:rsid w:val="00A6167F"/>
    <w:rsid w:val="00A61E0E"/>
    <w:rsid w:val="00A630FC"/>
    <w:rsid w:val="00A6403A"/>
    <w:rsid w:val="00A65B44"/>
    <w:rsid w:val="00A67455"/>
    <w:rsid w:val="00A70DA6"/>
    <w:rsid w:val="00A746C1"/>
    <w:rsid w:val="00A74E1B"/>
    <w:rsid w:val="00A77E5E"/>
    <w:rsid w:val="00A80D7A"/>
    <w:rsid w:val="00A83D51"/>
    <w:rsid w:val="00A8504D"/>
    <w:rsid w:val="00A85822"/>
    <w:rsid w:val="00A86681"/>
    <w:rsid w:val="00A87FF8"/>
    <w:rsid w:val="00A90EA1"/>
    <w:rsid w:val="00A9395F"/>
    <w:rsid w:val="00A96B02"/>
    <w:rsid w:val="00A97CB3"/>
    <w:rsid w:val="00AA0177"/>
    <w:rsid w:val="00AA0CA3"/>
    <w:rsid w:val="00AA4058"/>
    <w:rsid w:val="00AA673E"/>
    <w:rsid w:val="00AB03B6"/>
    <w:rsid w:val="00AB1620"/>
    <w:rsid w:val="00AB177D"/>
    <w:rsid w:val="00AB17C4"/>
    <w:rsid w:val="00AB37F1"/>
    <w:rsid w:val="00AB4D75"/>
    <w:rsid w:val="00AB640C"/>
    <w:rsid w:val="00AB6C9A"/>
    <w:rsid w:val="00AC49CF"/>
    <w:rsid w:val="00AC5547"/>
    <w:rsid w:val="00AC597A"/>
    <w:rsid w:val="00AD28D5"/>
    <w:rsid w:val="00AD5B8B"/>
    <w:rsid w:val="00AD624E"/>
    <w:rsid w:val="00AD6FB9"/>
    <w:rsid w:val="00AE61C4"/>
    <w:rsid w:val="00AE6DE7"/>
    <w:rsid w:val="00AF089D"/>
    <w:rsid w:val="00AF2328"/>
    <w:rsid w:val="00AF2A1D"/>
    <w:rsid w:val="00AF4C80"/>
    <w:rsid w:val="00AF5BF5"/>
    <w:rsid w:val="00B075BD"/>
    <w:rsid w:val="00B1126E"/>
    <w:rsid w:val="00B120C4"/>
    <w:rsid w:val="00B12405"/>
    <w:rsid w:val="00B1257F"/>
    <w:rsid w:val="00B1668C"/>
    <w:rsid w:val="00B20302"/>
    <w:rsid w:val="00B22D61"/>
    <w:rsid w:val="00B25938"/>
    <w:rsid w:val="00B25D56"/>
    <w:rsid w:val="00B31DD0"/>
    <w:rsid w:val="00B320E3"/>
    <w:rsid w:val="00B332DF"/>
    <w:rsid w:val="00B35EFC"/>
    <w:rsid w:val="00B375CA"/>
    <w:rsid w:val="00B411C2"/>
    <w:rsid w:val="00B412B1"/>
    <w:rsid w:val="00B412D2"/>
    <w:rsid w:val="00B41970"/>
    <w:rsid w:val="00B429EE"/>
    <w:rsid w:val="00B44B16"/>
    <w:rsid w:val="00B45BFB"/>
    <w:rsid w:val="00B4776C"/>
    <w:rsid w:val="00B47F66"/>
    <w:rsid w:val="00B50551"/>
    <w:rsid w:val="00B52A2A"/>
    <w:rsid w:val="00B538CB"/>
    <w:rsid w:val="00B53B97"/>
    <w:rsid w:val="00B53F29"/>
    <w:rsid w:val="00B542E8"/>
    <w:rsid w:val="00B5498C"/>
    <w:rsid w:val="00B56E8F"/>
    <w:rsid w:val="00B56FFD"/>
    <w:rsid w:val="00B6045E"/>
    <w:rsid w:val="00B6054C"/>
    <w:rsid w:val="00B617E0"/>
    <w:rsid w:val="00B61DC8"/>
    <w:rsid w:val="00B63D20"/>
    <w:rsid w:val="00B640C8"/>
    <w:rsid w:val="00B64F09"/>
    <w:rsid w:val="00B650D8"/>
    <w:rsid w:val="00B658FF"/>
    <w:rsid w:val="00B66354"/>
    <w:rsid w:val="00B703E6"/>
    <w:rsid w:val="00B71326"/>
    <w:rsid w:val="00B72447"/>
    <w:rsid w:val="00B74002"/>
    <w:rsid w:val="00B743AA"/>
    <w:rsid w:val="00B76094"/>
    <w:rsid w:val="00B80CCE"/>
    <w:rsid w:val="00B81355"/>
    <w:rsid w:val="00B81629"/>
    <w:rsid w:val="00B81A98"/>
    <w:rsid w:val="00B81B3E"/>
    <w:rsid w:val="00B84586"/>
    <w:rsid w:val="00B90134"/>
    <w:rsid w:val="00B93893"/>
    <w:rsid w:val="00B93A3A"/>
    <w:rsid w:val="00B96E8B"/>
    <w:rsid w:val="00B97C27"/>
    <w:rsid w:val="00BA1AAF"/>
    <w:rsid w:val="00BA5F34"/>
    <w:rsid w:val="00BA62F6"/>
    <w:rsid w:val="00BA7AA3"/>
    <w:rsid w:val="00BB187F"/>
    <w:rsid w:val="00BB3DDD"/>
    <w:rsid w:val="00BB4A6E"/>
    <w:rsid w:val="00BC48E8"/>
    <w:rsid w:val="00BC5B0B"/>
    <w:rsid w:val="00BD0840"/>
    <w:rsid w:val="00BD1CD7"/>
    <w:rsid w:val="00BD31FA"/>
    <w:rsid w:val="00BD64A0"/>
    <w:rsid w:val="00BD74C8"/>
    <w:rsid w:val="00BE275B"/>
    <w:rsid w:val="00BE45C5"/>
    <w:rsid w:val="00BE5614"/>
    <w:rsid w:val="00BE5B5D"/>
    <w:rsid w:val="00BE7AEC"/>
    <w:rsid w:val="00BF01B2"/>
    <w:rsid w:val="00BF05F7"/>
    <w:rsid w:val="00BF0C30"/>
    <w:rsid w:val="00BF42B9"/>
    <w:rsid w:val="00BF5C50"/>
    <w:rsid w:val="00BF5E86"/>
    <w:rsid w:val="00BF7A7D"/>
    <w:rsid w:val="00C00536"/>
    <w:rsid w:val="00C0084A"/>
    <w:rsid w:val="00C02A62"/>
    <w:rsid w:val="00C031E3"/>
    <w:rsid w:val="00C03D56"/>
    <w:rsid w:val="00C06964"/>
    <w:rsid w:val="00C07E97"/>
    <w:rsid w:val="00C07F84"/>
    <w:rsid w:val="00C13A45"/>
    <w:rsid w:val="00C143D9"/>
    <w:rsid w:val="00C146CD"/>
    <w:rsid w:val="00C1602B"/>
    <w:rsid w:val="00C17D57"/>
    <w:rsid w:val="00C20C30"/>
    <w:rsid w:val="00C20C75"/>
    <w:rsid w:val="00C22B0C"/>
    <w:rsid w:val="00C242C6"/>
    <w:rsid w:val="00C252F1"/>
    <w:rsid w:val="00C264B9"/>
    <w:rsid w:val="00C26F7C"/>
    <w:rsid w:val="00C31C3B"/>
    <w:rsid w:val="00C34C6F"/>
    <w:rsid w:val="00C3505A"/>
    <w:rsid w:val="00C354D2"/>
    <w:rsid w:val="00C36F37"/>
    <w:rsid w:val="00C41D0F"/>
    <w:rsid w:val="00C41DC3"/>
    <w:rsid w:val="00C4362C"/>
    <w:rsid w:val="00C437E0"/>
    <w:rsid w:val="00C43E17"/>
    <w:rsid w:val="00C44190"/>
    <w:rsid w:val="00C44604"/>
    <w:rsid w:val="00C44C68"/>
    <w:rsid w:val="00C44E1E"/>
    <w:rsid w:val="00C45DF7"/>
    <w:rsid w:val="00C462DA"/>
    <w:rsid w:val="00C505CF"/>
    <w:rsid w:val="00C53A06"/>
    <w:rsid w:val="00C55275"/>
    <w:rsid w:val="00C55EAF"/>
    <w:rsid w:val="00C568C3"/>
    <w:rsid w:val="00C572C5"/>
    <w:rsid w:val="00C608A3"/>
    <w:rsid w:val="00C60E7E"/>
    <w:rsid w:val="00C61F4D"/>
    <w:rsid w:val="00C64340"/>
    <w:rsid w:val="00C6445E"/>
    <w:rsid w:val="00C65B5A"/>
    <w:rsid w:val="00C73E83"/>
    <w:rsid w:val="00C74C6F"/>
    <w:rsid w:val="00C7707C"/>
    <w:rsid w:val="00C77B7C"/>
    <w:rsid w:val="00C80BE9"/>
    <w:rsid w:val="00C82690"/>
    <w:rsid w:val="00C82E86"/>
    <w:rsid w:val="00C840BF"/>
    <w:rsid w:val="00C86AC9"/>
    <w:rsid w:val="00C930D2"/>
    <w:rsid w:val="00C945AF"/>
    <w:rsid w:val="00C9611A"/>
    <w:rsid w:val="00C96E8E"/>
    <w:rsid w:val="00CA41E9"/>
    <w:rsid w:val="00CA444C"/>
    <w:rsid w:val="00CA44EC"/>
    <w:rsid w:val="00CB03C1"/>
    <w:rsid w:val="00CB0FA0"/>
    <w:rsid w:val="00CB152C"/>
    <w:rsid w:val="00CB4E17"/>
    <w:rsid w:val="00CB6D86"/>
    <w:rsid w:val="00CB72AC"/>
    <w:rsid w:val="00CB7A4E"/>
    <w:rsid w:val="00CC0CD8"/>
    <w:rsid w:val="00CC1488"/>
    <w:rsid w:val="00CC21F7"/>
    <w:rsid w:val="00CC2C09"/>
    <w:rsid w:val="00CC2CF9"/>
    <w:rsid w:val="00CC2F6B"/>
    <w:rsid w:val="00CC5AD7"/>
    <w:rsid w:val="00CC6D03"/>
    <w:rsid w:val="00CC7871"/>
    <w:rsid w:val="00CC7C0C"/>
    <w:rsid w:val="00CD0A02"/>
    <w:rsid w:val="00CD2E23"/>
    <w:rsid w:val="00CD3C5A"/>
    <w:rsid w:val="00CD4D87"/>
    <w:rsid w:val="00CD5BAA"/>
    <w:rsid w:val="00CD6F77"/>
    <w:rsid w:val="00CE0076"/>
    <w:rsid w:val="00CE38CF"/>
    <w:rsid w:val="00CE5212"/>
    <w:rsid w:val="00CE64B7"/>
    <w:rsid w:val="00CE76D0"/>
    <w:rsid w:val="00CE7B9F"/>
    <w:rsid w:val="00CF382E"/>
    <w:rsid w:val="00CF38C7"/>
    <w:rsid w:val="00CF4C74"/>
    <w:rsid w:val="00CF4F48"/>
    <w:rsid w:val="00CF768B"/>
    <w:rsid w:val="00D00BD9"/>
    <w:rsid w:val="00D00F8B"/>
    <w:rsid w:val="00D01EC2"/>
    <w:rsid w:val="00D03915"/>
    <w:rsid w:val="00D06103"/>
    <w:rsid w:val="00D06D4C"/>
    <w:rsid w:val="00D10A59"/>
    <w:rsid w:val="00D10C19"/>
    <w:rsid w:val="00D117DD"/>
    <w:rsid w:val="00D11F04"/>
    <w:rsid w:val="00D12303"/>
    <w:rsid w:val="00D14D7B"/>
    <w:rsid w:val="00D156EE"/>
    <w:rsid w:val="00D17E52"/>
    <w:rsid w:val="00D2031A"/>
    <w:rsid w:val="00D207F2"/>
    <w:rsid w:val="00D23180"/>
    <w:rsid w:val="00D26554"/>
    <w:rsid w:val="00D34B6F"/>
    <w:rsid w:val="00D360E0"/>
    <w:rsid w:val="00D36688"/>
    <w:rsid w:val="00D36730"/>
    <w:rsid w:val="00D41258"/>
    <w:rsid w:val="00D41C67"/>
    <w:rsid w:val="00D44060"/>
    <w:rsid w:val="00D441B3"/>
    <w:rsid w:val="00D462FF"/>
    <w:rsid w:val="00D54CC1"/>
    <w:rsid w:val="00D5504E"/>
    <w:rsid w:val="00D57A9E"/>
    <w:rsid w:val="00D6031F"/>
    <w:rsid w:val="00D6297F"/>
    <w:rsid w:val="00D62C84"/>
    <w:rsid w:val="00D63265"/>
    <w:rsid w:val="00D637D8"/>
    <w:rsid w:val="00D641F5"/>
    <w:rsid w:val="00D645E8"/>
    <w:rsid w:val="00D651DD"/>
    <w:rsid w:val="00D65322"/>
    <w:rsid w:val="00D66285"/>
    <w:rsid w:val="00D66BD7"/>
    <w:rsid w:val="00D71F2A"/>
    <w:rsid w:val="00D73101"/>
    <w:rsid w:val="00D75F7D"/>
    <w:rsid w:val="00D813B1"/>
    <w:rsid w:val="00D81E49"/>
    <w:rsid w:val="00D83838"/>
    <w:rsid w:val="00D83DD1"/>
    <w:rsid w:val="00D866F7"/>
    <w:rsid w:val="00D92C2C"/>
    <w:rsid w:val="00D932C8"/>
    <w:rsid w:val="00D94E13"/>
    <w:rsid w:val="00DA0AF3"/>
    <w:rsid w:val="00DA14F6"/>
    <w:rsid w:val="00DA692A"/>
    <w:rsid w:val="00DA6F52"/>
    <w:rsid w:val="00DA7142"/>
    <w:rsid w:val="00DB0281"/>
    <w:rsid w:val="00DB0C44"/>
    <w:rsid w:val="00DB2DF1"/>
    <w:rsid w:val="00DB521B"/>
    <w:rsid w:val="00DB53AA"/>
    <w:rsid w:val="00DB5484"/>
    <w:rsid w:val="00DB6300"/>
    <w:rsid w:val="00DB6354"/>
    <w:rsid w:val="00DB70A4"/>
    <w:rsid w:val="00DB7CC4"/>
    <w:rsid w:val="00DC1926"/>
    <w:rsid w:val="00DC2062"/>
    <w:rsid w:val="00DC42AB"/>
    <w:rsid w:val="00DC5828"/>
    <w:rsid w:val="00DC5B05"/>
    <w:rsid w:val="00DC79DB"/>
    <w:rsid w:val="00DC7E34"/>
    <w:rsid w:val="00DD1914"/>
    <w:rsid w:val="00DD411B"/>
    <w:rsid w:val="00DD4165"/>
    <w:rsid w:val="00DD5478"/>
    <w:rsid w:val="00DD7284"/>
    <w:rsid w:val="00DE0280"/>
    <w:rsid w:val="00DE0D87"/>
    <w:rsid w:val="00DE0DA1"/>
    <w:rsid w:val="00DE1B9F"/>
    <w:rsid w:val="00DE3BED"/>
    <w:rsid w:val="00DE5141"/>
    <w:rsid w:val="00DE524C"/>
    <w:rsid w:val="00DE5D32"/>
    <w:rsid w:val="00DE5E18"/>
    <w:rsid w:val="00DE642F"/>
    <w:rsid w:val="00DE6CC0"/>
    <w:rsid w:val="00DE7747"/>
    <w:rsid w:val="00DF1121"/>
    <w:rsid w:val="00DF2837"/>
    <w:rsid w:val="00DF4C06"/>
    <w:rsid w:val="00E00C90"/>
    <w:rsid w:val="00E02610"/>
    <w:rsid w:val="00E02BE1"/>
    <w:rsid w:val="00E04249"/>
    <w:rsid w:val="00E07CEC"/>
    <w:rsid w:val="00E10BFA"/>
    <w:rsid w:val="00E11A2F"/>
    <w:rsid w:val="00E12102"/>
    <w:rsid w:val="00E12C02"/>
    <w:rsid w:val="00E131A2"/>
    <w:rsid w:val="00E13C29"/>
    <w:rsid w:val="00E20F3B"/>
    <w:rsid w:val="00E23D01"/>
    <w:rsid w:val="00E26E25"/>
    <w:rsid w:val="00E278C1"/>
    <w:rsid w:val="00E27EA6"/>
    <w:rsid w:val="00E30346"/>
    <w:rsid w:val="00E33D52"/>
    <w:rsid w:val="00E347CD"/>
    <w:rsid w:val="00E35615"/>
    <w:rsid w:val="00E40E98"/>
    <w:rsid w:val="00E413B7"/>
    <w:rsid w:val="00E41FD3"/>
    <w:rsid w:val="00E43CB1"/>
    <w:rsid w:val="00E44936"/>
    <w:rsid w:val="00E46A84"/>
    <w:rsid w:val="00E47955"/>
    <w:rsid w:val="00E50FD1"/>
    <w:rsid w:val="00E5225E"/>
    <w:rsid w:val="00E54013"/>
    <w:rsid w:val="00E5415E"/>
    <w:rsid w:val="00E54F10"/>
    <w:rsid w:val="00E5677E"/>
    <w:rsid w:val="00E575BD"/>
    <w:rsid w:val="00E57E47"/>
    <w:rsid w:val="00E61D2F"/>
    <w:rsid w:val="00E62395"/>
    <w:rsid w:val="00E63193"/>
    <w:rsid w:val="00E6345A"/>
    <w:rsid w:val="00E65CD4"/>
    <w:rsid w:val="00E667ED"/>
    <w:rsid w:val="00E67212"/>
    <w:rsid w:val="00E713CE"/>
    <w:rsid w:val="00E740B6"/>
    <w:rsid w:val="00E74A3B"/>
    <w:rsid w:val="00E74C56"/>
    <w:rsid w:val="00E75E01"/>
    <w:rsid w:val="00E80626"/>
    <w:rsid w:val="00E80D5C"/>
    <w:rsid w:val="00E82B43"/>
    <w:rsid w:val="00E85589"/>
    <w:rsid w:val="00E862C9"/>
    <w:rsid w:val="00E864BC"/>
    <w:rsid w:val="00E87C7A"/>
    <w:rsid w:val="00E90781"/>
    <w:rsid w:val="00E91253"/>
    <w:rsid w:val="00E91421"/>
    <w:rsid w:val="00E92512"/>
    <w:rsid w:val="00E9356C"/>
    <w:rsid w:val="00E96F43"/>
    <w:rsid w:val="00EA0343"/>
    <w:rsid w:val="00EA1A72"/>
    <w:rsid w:val="00EA2077"/>
    <w:rsid w:val="00EA3DFD"/>
    <w:rsid w:val="00EA57CC"/>
    <w:rsid w:val="00EA62F7"/>
    <w:rsid w:val="00EA654A"/>
    <w:rsid w:val="00EA78FA"/>
    <w:rsid w:val="00EA7BD7"/>
    <w:rsid w:val="00EB2C7D"/>
    <w:rsid w:val="00EB3349"/>
    <w:rsid w:val="00EB421D"/>
    <w:rsid w:val="00EB5EAC"/>
    <w:rsid w:val="00EB7B15"/>
    <w:rsid w:val="00EC1891"/>
    <w:rsid w:val="00EC3B0D"/>
    <w:rsid w:val="00EC4302"/>
    <w:rsid w:val="00EC4C65"/>
    <w:rsid w:val="00EC50B1"/>
    <w:rsid w:val="00EC7E17"/>
    <w:rsid w:val="00ED02D2"/>
    <w:rsid w:val="00ED2638"/>
    <w:rsid w:val="00ED3442"/>
    <w:rsid w:val="00ED3897"/>
    <w:rsid w:val="00ED427B"/>
    <w:rsid w:val="00ED75BB"/>
    <w:rsid w:val="00EE01FE"/>
    <w:rsid w:val="00EE55A5"/>
    <w:rsid w:val="00EE5E7D"/>
    <w:rsid w:val="00EF1803"/>
    <w:rsid w:val="00EF1F6C"/>
    <w:rsid w:val="00EF3B05"/>
    <w:rsid w:val="00EF6F40"/>
    <w:rsid w:val="00EF7535"/>
    <w:rsid w:val="00F03E99"/>
    <w:rsid w:val="00F041F8"/>
    <w:rsid w:val="00F05A8D"/>
    <w:rsid w:val="00F0716C"/>
    <w:rsid w:val="00F10118"/>
    <w:rsid w:val="00F1288E"/>
    <w:rsid w:val="00F13E1C"/>
    <w:rsid w:val="00F1484B"/>
    <w:rsid w:val="00F16110"/>
    <w:rsid w:val="00F166C8"/>
    <w:rsid w:val="00F17844"/>
    <w:rsid w:val="00F2099E"/>
    <w:rsid w:val="00F22C6E"/>
    <w:rsid w:val="00F22EDA"/>
    <w:rsid w:val="00F241C5"/>
    <w:rsid w:val="00F2444E"/>
    <w:rsid w:val="00F25918"/>
    <w:rsid w:val="00F25B76"/>
    <w:rsid w:val="00F26886"/>
    <w:rsid w:val="00F318DB"/>
    <w:rsid w:val="00F31961"/>
    <w:rsid w:val="00F31A3F"/>
    <w:rsid w:val="00F3343D"/>
    <w:rsid w:val="00F357C2"/>
    <w:rsid w:val="00F359A8"/>
    <w:rsid w:val="00F3728F"/>
    <w:rsid w:val="00F4157E"/>
    <w:rsid w:val="00F510F3"/>
    <w:rsid w:val="00F513B0"/>
    <w:rsid w:val="00F51C4C"/>
    <w:rsid w:val="00F52927"/>
    <w:rsid w:val="00F52AC7"/>
    <w:rsid w:val="00F54A8A"/>
    <w:rsid w:val="00F6136C"/>
    <w:rsid w:val="00F639A2"/>
    <w:rsid w:val="00F6557D"/>
    <w:rsid w:val="00F679C3"/>
    <w:rsid w:val="00F71079"/>
    <w:rsid w:val="00F71ACC"/>
    <w:rsid w:val="00F731A7"/>
    <w:rsid w:val="00F76A10"/>
    <w:rsid w:val="00F77B83"/>
    <w:rsid w:val="00F82931"/>
    <w:rsid w:val="00F9384D"/>
    <w:rsid w:val="00F96AEC"/>
    <w:rsid w:val="00F97540"/>
    <w:rsid w:val="00FA2C79"/>
    <w:rsid w:val="00FA3D17"/>
    <w:rsid w:val="00FA61B1"/>
    <w:rsid w:val="00FB00C8"/>
    <w:rsid w:val="00FB104A"/>
    <w:rsid w:val="00FB45CA"/>
    <w:rsid w:val="00FB5B39"/>
    <w:rsid w:val="00FC126B"/>
    <w:rsid w:val="00FC12DD"/>
    <w:rsid w:val="00FC12FD"/>
    <w:rsid w:val="00FC2489"/>
    <w:rsid w:val="00FD042B"/>
    <w:rsid w:val="00FD1CA3"/>
    <w:rsid w:val="00FD2F05"/>
    <w:rsid w:val="00FD4721"/>
    <w:rsid w:val="00FD55E4"/>
    <w:rsid w:val="00FD6774"/>
    <w:rsid w:val="00FE1176"/>
    <w:rsid w:val="00FE4445"/>
    <w:rsid w:val="00FF0207"/>
    <w:rsid w:val="00FF053A"/>
    <w:rsid w:val="00FF0923"/>
    <w:rsid w:val="00FF0AFD"/>
    <w:rsid w:val="00FF16AF"/>
    <w:rsid w:val="00FF16F4"/>
    <w:rsid w:val="00FF2144"/>
    <w:rsid w:val="00FF4452"/>
    <w:rsid w:val="00FF4485"/>
    <w:rsid w:val="00FF78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EFC"/>
    <w:rPr>
      <w:sz w:val="24"/>
      <w:szCs w:val="24"/>
    </w:rPr>
  </w:style>
  <w:style w:type="paragraph" w:styleId="2">
    <w:name w:val="heading 2"/>
    <w:basedOn w:val="a"/>
    <w:next w:val="a"/>
    <w:link w:val="2Char"/>
    <w:uiPriority w:val="99"/>
    <w:qFormat/>
    <w:rsid w:val="00BD31FA"/>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uiPriority w:val="99"/>
    <w:semiHidden/>
    <w:locked/>
    <w:rsid w:val="006441DB"/>
    <w:rPr>
      <w:rFonts w:ascii="Cambria" w:hAnsi="Cambria" w:cs="Times New Roman"/>
      <w:b/>
      <w:bCs/>
      <w:i/>
      <w:iCs/>
      <w:sz w:val="28"/>
      <w:szCs w:val="28"/>
    </w:rPr>
  </w:style>
  <w:style w:type="character" w:styleId="-">
    <w:name w:val="Hyperlink"/>
    <w:uiPriority w:val="99"/>
    <w:rsid w:val="00BD31FA"/>
    <w:rPr>
      <w:rFonts w:cs="Times New Roman"/>
      <w:color w:val="0000FF"/>
      <w:u w:val="single"/>
    </w:rPr>
  </w:style>
  <w:style w:type="paragraph" w:styleId="Web">
    <w:name w:val="Normal (Web)"/>
    <w:basedOn w:val="a"/>
    <w:uiPriority w:val="99"/>
    <w:rsid w:val="00BD31FA"/>
    <w:pPr>
      <w:spacing w:before="100" w:beforeAutospacing="1" w:after="100" w:afterAutospacing="1"/>
    </w:pPr>
  </w:style>
  <w:style w:type="paragraph" w:customStyle="1" w:styleId="HeadingLead-in">
    <w:name w:val="Heading Lead-in"/>
    <w:next w:val="2"/>
    <w:uiPriority w:val="99"/>
    <w:rsid w:val="00BD31FA"/>
    <w:pPr>
      <w:keepNext/>
      <w:spacing w:before="280"/>
    </w:pPr>
    <w:rPr>
      <w:rFonts w:ascii="Baskerville" w:hAnsi="Baskerville"/>
      <w:color w:val="B00000"/>
      <w:u w:color="B00000"/>
      <w:lang w:val="en-US" w:eastAsia="en-IE"/>
    </w:rPr>
  </w:style>
  <w:style w:type="paragraph" w:styleId="a3">
    <w:name w:val="Balloon Text"/>
    <w:basedOn w:val="a"/>
    <w:link w:val="Char"/>
    <w:uiPriority w:val="99"/>
    <w:semiHidden/>
    <w:rsid w:val="00127847"/>
    <w:rPr>
      <w:sz w:val="2"/>
      <w:szCs w:val="20"/>
    </w:rPr>
  </w:style>
  <w:style w:type="character" w:customStyle="1" w:styleId="Char">
    <w:name w:val="Κείμενο πλαισίου Char"/>
    <w:link w:val="a3"/>
    <w:uiPriority w:val="99"/>
    <w:semiHidden/>
    <w:locked/>
    <w:rsid w:val="006441DB"/>
    <w:rPr>
      <w:rFonts w:cs="Times New Roman"/>
      <w:sz w:val="2"/>
    </w:rPr>
  </w:style>
  <w:style w:type="paragraph" w:styleId="a4">
    <w:name w:val="header"/>
    <w:basedOn w:val="a"/>
    <w:link w:val="Char0"/>
    <w:uiPriority w:val="99"/>
    <w:rsid w:val="00B56FFD"/>
    <w:pPr>
      <w:tabs>
        <w:tab w:val="center" w:pos="4153"/>
        <w:tab w:val="right" w:pos="8306"/>
      </w:tabs>
    </w:pPr>
  </w:style>
  <w:style w:type="character" w:customStyle="1" w:styleId="Char0">
    <w:name w:val="Κεφαλίδα Char"/>
    <w:link w:val="a4"/>
    <w:uiPriority w:val="99"/>
    <w:semiHidden/>
    <w:locked/>
    <w:rsid w:val="006441DB"/>
    <w:rPr>
      <w:rFonts w:cs="Times New Roman"/>
      <w:sz w:val="24"/>
      <w:szCs w:val="24"/>
    </w:rPr>
  </w:style>
  <w:style w:type="paragraph" w:styleId="a5">
    <w:name w:val="footer"/>
    <w:basedOn w:val="a"/>
    <w:link w:val="Char1"/>
    <w:uiPriority w:val="99"/>
    <w:rsid w:val="00B56FFD"/>
    <w:pPr>
      <w:tabs>
        <w:tab w:val="center" w:pos="4153"/>
        <w:tab w:val="right" w:pos="8306"/>
      </w:tabs>
    </w:pPr>
  </w:style>
  <w:style w:type="character" w:customStyle="1" w:styleId="Char1">
    <w:name w:val="Υποσέλιδο Char"/>
    <w:link w:val="a5"/>
    <w:uiPriority w:val="99"/>
    <w:semiHidden/>
    <w:locked/>
    <w:rsid w:val="006441DB"/>
    <w:rPr>
      <w:rFonts w:cs="Times New Roman"/>
      <w:sz w:val="24"/>
      <w:szCs w:val="24"/>
    </w:rPr>
  </w:style>
  <w:style w:type="table" w:styleId="a6">
    <w:name w:val="Table Grid"/>
    <w:basedOn w:val="a1"/>
    <w:uiPriority w:val="99"/>
    <w:rsid w:val="00C41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Char2"/>
    <w:uiPriority w:val="99"/>
    <w:semiHidden/>
    <w:rsid w:val="00C41D0F"/>
    <w:rPr>
      <w:sz w:val="20"/>
      <w:szCs w:val="20"/>
    </w:rPr>
  </w:style>
  <w:style w:type="character" w:customStyle="1" w:styleId="Char2">
    <w:name w:val="Κείμενο υποσημείωσης Char"/>
    <w:link w:val="a7"/>
    <w:uiPriority w:val="99"/>
    <w:semiHidden/>
    <w:locked/>
    <w:rsid w:val="006441DB"/>
    <w:rPr>
      <w:rFonts w:cs="Times New Roman"/>
      <w:sz w:val="20"/>
      <w:szCs w:val="20"/>
    </w:rPr>
  </w:style>
  <w:style w:type="character" w:styleId="a8">
    <w:name w:val="footnote reference"/>
    <w:uiPriority w:val="99"/>
    <w:semiHidden/>
    <w:rsid w:val="00C41D0F"/>
    <w:rPr>
      <w:rFonts w:cs="Times New Roman"/>
      <w:vertAlign w:val="superscript"/>
    </w:rPr>
  </w:style>
  <w:style w:type="character" w:styleId="a9">
    <w:name w:val="page number"/>
    <w:uiPriority w:val="99"/>
    <w:rsid w:val="000978F2"/>
    <w:rPr>
      <w:rFonts w:cs="Times New Roman"/>
    </w:rPr>
  </w:style>
  <w:style w:type="paragraph" w:styleId="aa">
    <w:name w:val="List Paragraph"/>
    <w:basedOn w:val="a"/>
    <w:uiPriority w:val="99"/>
    <w:qFormat/>
    <w:rsid w:val="00B53F29"/>
    <w:pPr>
      <w:ind w:left="720"/>
    </w:pPr>
  </w:style>
  <w:style w:type="paragraph" w:styleId="ab">
    <w:name w:val="Revision"/>
    <w:hidden/>
    <w:uiPriority w:val="99"/>
    <w:semiHidden/>
    <w:rsid w:val="009838C1"/>
    <w:rPr>
      <w:sz w:val="24"/>
      <w:szCs w:val="24"/>
    </w:rPr>
  </w:style>
  <w:style w:type="table" w:styleId="2-2">
    <w:name w:val="Medium Shading 2 Accent 2"/>
    <w:basedOn w:val="a1"/>
    <w:uiPriority w:val="64"/>
    <w:rsid w:val="008136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C17D5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1"/>
    <w:uiPriority w:val="60"/>
    <w:rsid w:val="000072E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
    <w:name w:val="Light Shading Accent 3"/>
    <w:basedOn w:val="a1"/>
    <w:uiPriority w:val="60"/>
    <w:rsid w:val="00295E5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Colorful List Accent 2"/>
    <w:basedOn w:val="a1"/>
    <w:uiPriority w:val="72"/>
    <w:rsid w:val="00295E51"/>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EFC"/>
    <w:rPr>
      <w:sz w:val="24"/>
      <w:szCs w:val="24"/>
    </w:rPr>
  </w:style>
  <w:style w:type="paragraph" w:styleId="2">
    <w:name w:val="heading 2"/>
    <w:basedOn w:val="a"/>
    <w:next w:val="a"/>
    <w:link w:val="2Char"/>
    <w:uiPriority w:val="99"/>
    <w:qFormat/>
    <w:rsid w:val="00BD31FA"/>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uiPriority w:val="99"/>
    <w:semiHidden/>
    <w:locked/>
    <w:rsid w:val="006441DB"/>
    <w:rPr>
      <w:rFonts w:ascii="Cambria" w:hAnsi="Cambria" w:cs="Times New Roman"/>
      <w:b/>
      <w:bCs/>
      <w:i/>
      <w:iCs/>
      <w:sz w:val="28"/>
      <w:szCs w:val="28"/>
    </w:rPr>
  </w:style>
  <w:style w:type="character" w:styleId="-">
    <w:name w:val="Hyperlink"/>
    <w:uiPriority w:val="99"/>
    <w:rsid w:val="00BD31FA"/>
    <w:rPr>
      <w:rFonts w:cs="Times New Roman"/>
      <w:color w:val="0000FF"/>
      <w:u w:val="single"/>
    </w:rPr>
  </w:style>
  <w:style w:type="paragraph" w:styleId="Web">
    <w:name w:val="Normal (Web)"/>
    <w:basedOn w:val="a"/>
    <w:uiPriority w:val="99"/>
    <w:rsid w:val="00BD31FA"/>
    <w:pPr>
      <w:spacing w:before="100" w:beforeAutospacing="1" w:after="100" w:afterAutospacing="1"/>
    </w:pPr>
  </w:style>
  <w:style w:type="paragraph" w:customStyle="1" w:styleId="HeadingLead-in">
    <w:name w:val="Heading Lead-in"/>
    <w:next w:val="2"/>
    <w:uiPriority w:val="99"/>
    <w:rsid w:val="00BD31FA"/>
    <w:pPr>
      <w:keepNext/>
      <w:spacing w:before="280"/>
    </w:pPr>
    <w:rPr>
      <w:rFonts w:ascii="Baskerville" w:hAnsi="Baskerville"/>
      <w:color w:val="B00000"/>
      <w:u w:color="B00000"/>
      <w:lang w:val="en-US" w:eastAsia="en-IE"/>
    </w:rPr>
  </w:style>
  <w:style w:type="paragraph" w:styleId="a3">
    <w:name w:val="Balloon Text"/>
    <w:basedOn w:val="a"/>
    <w:link w:val="Char"/>
    <w:uiPriority w:val="99"/>
    <w:semiHidden/>
    <w:rsid w:val="00127847"/>
    <w:rPr>
      <w:sz w:val="2"/>
      <w:szCs w:val="20"/>
    </w:rPr>
  </w:style>
  <w:style w:type="character" w:customStyle="1" w:styleId="Char">
    <w:name w:val="Κείμενο πλαισίου Char"/>
    <w:link w:val="a3"/>
    <w:uiPriority w:val="99"/>
    <w:semiHidden/>
    <w:locked/>
    <w:rsid w:val="006441DB"/>
    <w:rPr>
      <w:rFonts w:cs="Times New Roman"/>
      <w:sz w:val="2"/>
    </w:rPr>
  </w:style>
  <w:style w:type="paragraph" w:styleId="a4">
    <w:name w:val="header"/>
    <w:basedOn w:val="a"/>
    <w:link w:val="Char0"/>
    <w:uiPriority w:val="99"/>
    <w:rsid w:val="00B56FFD"/>
    <w:pPr>
      <w:tabs>
        <w:tab w:val="center" w:pos="4153"/>
        <w:tab w:val="right" w:pos="8306"/>
      </w:tabs>
    </w:pPr>
  </w:style>
  <w:style w:type="character" w:customStyle="1" w:styleId="Char0">
    <w:name w:val="Κεφαλίδα Char"/>
    <w:link w:val="a4"/>
    <w:uiPriority w:val="99"/>
    <w:semiHidden/>
    <w:locked/>
    <w:rsid w:val="006441DB"/>
    <w:rPr>
      <w:rFonts w:cs="Times New Roman"/>
      <w:sz w:val="24"/>
      <w:szCs w:val="24"/>
    </w:rPr>
  </w:style>
  <w:style w:type="paragraph" w:styleId="a5">
    <w:name w:val="footer"/>
    <w:basedOn w:val="a"/>
    <w:link w:val="Char1"/>
    <w:uiPriority w:val="99"/>
    <w:rsid w:val="00B56FFD"/>
    <w:pPr>
      <w:tabs>
        <w:tab w:val="center" w:pos="4153"/>
        <w:tab w:val="right" w:pos="8306"/>
      </w:tabs>
    </w:pPr>
  </w:style>
  <w:style w:type="character" w:customStyle="1" w:styleId="Char1">
    <w:name w:val="Υποσέλιδο Char"/>
    <w:link w:val="a5"/>
    <w:uiPriority w:val="99"/>
    <w:semiHidden/>
    <w:locked/>
    <w:rsid w:val="006441DB"/>
    <w:rPr>
      <w:rFonts w:cs="Times New Roman"/>
      <w:sz w:val="24"/>
      <w:szCs w:val="24"/>
    </w:rPr>
  </w:style>
  <w:style w:type="table" w:styleId="a6">
    <w:name w:val="Table Grid"/>
    <w:basedOn w:val="a1"/>
    <w:uiPriority w:val="99"/>
    <w:rsid w:val="00C41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Char2"/>
    <w:uiPriority w:val="99"/>
    <w:semiHidden/>
    <w:rsid w:val="00C41D0F"/>
    <w:rPr>
      <w:sz w:val="20"/>
      <w:szCs w:val="20"/>
    </w:rPr>
  </w:style>
  <w:style w:type="character" w:customStyle="1" w:styleId="Char2">
    <w:name w:val="Κείμενο υποσημείωσης Char"/>
    <w:link w:val="a7"/>
    <w:uiPriority w:val="99"/>
    <w:semiHidden/>
    <w:locked/>
    <w:rsid w:val="006441DB"/>
    <w:rPr>
      <w:rFonts w:cs="Times New Roman"/>
      <w:sz w:val="20"/>
      <w:szCs w:val="20"/>
    </w:rPr>
  </w:style>
  <w:style w:type="character" w:styleId="a8">
    <w:name w:val="footnote reference"/>
    <w:uiPriority w:val="99"/>
    <w:semiHidden/>
    <w:rsid w:val="00C41D0F"/>
    <w:rPr>
      <w:rFonts w:cs="Times New Roman"/>
      <w:vertAlign w:val="superscript"/>
    </w:rPr>
  </w:style>
  <w:style w:type="character" w:styleId="a9">
    <w:name w:val="page number"/>
    <w:uiPriority w:val="99"/>
    <w:rsid w:val="000978F2"/>
    <w:rPr>
      <w:rFonts w:cs="Times New Roman"/>
    </w:rPr>
  </w:style>
  <w:style w:type="paragraph" w:styleId="aa">
    <w:name w:val="List Paragraph"/>
    <w:basedOn w:val="a"/>
    <w:uiPriority w:val="99"/>
    <w:qFormat/>
    <w:rsid w:val="00B53F29"/>
    <w:pPr>
      <w:ind w:left="720"/>
    </w:pPr>
  </w:style>
  <w:style w:type="paragraph" w:styleId="ab">
    <w:name w:val="Revision"/>
    <w:hidden/>
    <w:uiPriority w:val="99"/>
    <w:semiHidden/>
    <w:rsid w:val="009838C1"/>
    <w:rPr>
      <w:sz w:val="24"/>
      <w:szCs w:val="24"/>
    </w:rPr>
  </w:style>
  <w:style w:type="table" w:styleId="2-2">
    <w:name w:val="Medium Shading 2 Accent 2"/>
    <w:basedOn w:val="a1"/>
    <w:uiPriority w:val="64"/>
    <w:rsid w:val="008136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C17D5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1"/>
    <w:uiPriority w:val="60"/>
    <w:rsid w:val="000072E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
    <w:name w:val="Light Shading Accent 3"/>
    <w:basedOn w:val="a1"/>
    <w:uiPriority w:val="60"/>
    <w:rsid w:val="00295E5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Colorful List Accent 2"/>
    <w:basedOn w:val="a1"/>
    <w:uiPriority w:val="72"/>
    <w:rsid w:val="00295E51"/>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566530">
      <w:bodyDiv w:val="1"/>
      <w:marLeft w:val="0"/>
      <w:marRight w:val="0"/>
      <w:marTop w:val="0"/>
      <w:marBottom w:val="0"/>
      <w:divBdr>
        <w:top w:val="none" w:sz="0" w:space="0" w:color="auto"/>
        <w:left w:val="none" w:sz="0" w:space="0" w:color="auto"/>
        <w:bottom w:val="none" w:sz="0" w:space="0" w:color="auto"/>
        <w:right w:val="none" w:sz="0" w:space="0" w:color="auto"/>
      </w:divBdr>
    </w:div>
    <w:div w:id="862014951">
      <w:bodyDiv w:val="1"/>
      <w:marLeft w:val="0"/>
      <w:marRight w:val="0"/>
      <w:marTop w:val="0"/>
      <w:marBottom w:val="0"/>
      <w:divBdr>
        <w:top w:val="none" w:sz="0" w:space="0" w:color="auto"/>
        <w:left w:val="none" w:sz="0" w:space="0" w:color="auto"/>
        <w:bottom w:val="none" w:sz="0" w:space="0" w:color="auto"/>
        <w:right w:val="none" w:sz="0" w:space="0" w:color="auto"/>
      </w:divBdr>
    </w:div>
    <w:div w:id="1178544100">
      <w:marLeft w:val="0"/>
      <w:marRight w:val="0"/>
      <w:marTop w:val="0"/>
      <w:marBottom w:val="0"/>
      <w:divBdr>
        <w:top w:val="none" w:sz="0" w:space="0" w:color="auto"/>
        <w:left w:val="none" w:sz="0" w:space="0" w:color="auto"/>
        <w:bottom w:val="none" w:sz="0" w:space="0" w:color="auto"/>
        <w:right w:val="none" w:sz="0" w:space="0" w:color="auto"/>
      </w:divBdr>
    </w:div>
    <w:div w:id="1178544101">
      <w:marLeft w:val="0"/>
      <w:marRight w:val="0"/>
      <w:marTop w:val="0"/>
      <w:marBottom w:val="0"/>
      <w:divBdr>
        <w:top w:val="none" w:sz="0" w:space="0" w:color="auto"/>
        <w:left w:val="none" w:sz="0" w:space="0" w:color="auto"/>
        <w:bottom w:val="none" w:sz="0" w:space="0" w:color="auto"/>
        <w:right w:val="none" w:sz="0" w:space="0" w:color="auto"/>
      </w:divBdr>
    </w:div>
    <w:div w:id="1178544102">
      <w:marLeft w:val="0"/>
      <w:marRight w:val="0"/>
      <w:marTop w:val="0"/>
      <w:marBottom w:val="0"/>
      <w:divBdr>
        <w:top w:val="none" w:sz="0" w:space="0" w:color="auto"/>
        <w:left w:val="none" w:sz="0" w:space="0" w:color="auto"/>
        <w:bottom w:val="none" w:sz="0" w:space="0" w:color="auto"/>
        <w:right w:val="none" w:sz="0" w:space="0" w:color="auto"/>
      </w:divBdr>
    </w:div>
    <w:div w:id="1178544103">
      <w:marLeft w:val="0"/>
      <w:marRight w:val="0"/>
      <w:marTop w:val="0"/>
      <w:marBottom w:val="0"/>
      <w:divBdr>
        <w:top w:val="none" w:sz="0" w:space="0" w:color="auto"/>
        <w:left w:val="none" w:sz="0" w:space="0" w:color="auto"/>
        <w:bottom w:val="none" w:sz="0" w:space="0" w:color="auto"/>
        <w:right w:val="none" w:sz="0" w:space="0" w:color="auto"/>
      </w:divBdr>
    </w:div>
    <w:div w:id="1178544104">
      <w:marLeft w:val="0"/>
      <w:marRight w:val="0"/>
      <w:marTop w:val="0"/>
      <w:marBottom w:val="0"/>
      <w:divBdr>
        <w:top w:val="none" w:sz="0" w:space="0" w:color="auto"/>
        <w:left w:val="none" w:sz="0" w:space="0" w:color="auto"/>
        <w:bottom w:val="none" w:sz="0" w:space="0" w:color="auto"/>
        <w:right w:val="none" w:sz="0" w:space="0" w:color="auto"/>
      </w:divBdr>
    </w:div>
    <w:div w:id="1178544105">
      <w:marLeft w:val="0"/>
      <w:marRight w:val="0"/>
      <w:marTop w:val="0"/>
      <w:marBottom w:val="0"/>
      <w:divBdr>
        <w:top w:val="none" w:sz="0" w:space="0" w:color="auto"/>
        <w:left w:val="none" w:sz="0" w:space="0" w:color="auto"/>
        <w:bottom w:val="none" w:sz="0" w:space="0" w:color="auto"/>
        <w:right w:val="none" w:sz="0" w:space="0" w:color="auto"/>
      </w:divBdr>
    </w:div>
    <w:div w:id="1178544106">
      <w:marLeft w:val="0"/>
      <w:marRight w:val="0"/>
      <w:marTop w:val="0"/>
      <w:marBottom w:val="0"/>
      <w:divBdr>
        <w:top w:val="none" w:sz="0" w:space="0" w:color="auto"/>
        <w:left w:val="none" w:sz="0" w:space="0" w:color="auto"/>
        <w:bottom w:val="none" w:sz="0" w:space="0" w:color="auto"/>
        <w:right w:val="none" w:sz="0" w:space="0" w:color="auto"/>
      </w:divBdr>
    </w:div>
    <w:div w:id="1178544107">
      <w:marLeft w:val="0"/>
      <w:marRight w:val="0"/>
      <w:marTop w:val="0"/>
      <w:marBottom w:val="0"/>
      <w:divBdr>
        <w:top w:val="none" w:sz="0" w:space="0" w:color="auto"/>
        <w:left w:val="none" w:sz="0" w:space="0" w:color="auto"/>
        <w:bottom w:val="none" w:sz="0" w:space="0" w:color="auto"/>
        <w:right w:val="none" w:sz="0" w:space="0" w:color="auto"/>
      </w:divBdr>
    </w:div>
    <w:div w:id="1178544108">
      <w:marLeft w:val="0"/>
      <w:marRight w:val="0"/>
      <w:marTop w:val="0"/>
      <w:marBottom w:val="0"/>
      <w:divBdr>
        <w:top w:val="none" w:sz="0" w:space="0" w:color="auto"/>
        <w:left w:val="none" w:sz="0" w:space="0" w:color="auto"/>
        <w:bottom w:val="none" w:sz="0" w:space="0" w:color="auto"/>
        <w:right w:val="none" w:sz="0" w:space="0" w:color="auto"/>
      </w:divBdr>
      <w:divsChild>
        <w:div w:id="1178544118">
          <w:marLeft w:val="547"/>
          <w:marRight w:val="0"/>
          <w:marTop w:val="77"/>
          <w:marBottom w:val="0"/>
          <w:divBdr>
            <w:top w:val="none" w:sz="0" w:space="0" w:color="auto"/>
            <w:left w:val="none" w:sz="0" w:space="0" w:color="auto"/>
            <w:bottom w:val="none" w:sz="0" w:space="0" w:color="auto"/>
            <w:right w:val="none" w:sz="0" w:space="0" w:color="auto"/>
          </w:divBdr>
        </w:div>
      </w:divsChild>
    </w:div>
    <w:div w:id="1178544109">
      <w:marLeft w:val="0"/>
      <w:marRight w:val="0"/>
      <w:marTop w:val="0"/>
      <w:marBottom w:val="0"/>
      <w:divBdr>
        <w:top w:val="none" w:sz="0" w:space="0" w:color="auto"/>
        <w:left w:val="none" w:sz="0" w:space="0" w:color="auto"/>
        <w:bottom w:val="none" w:sz="0" w:space="0" w:color="auto"/>
        <w:right w:val="none" w:sz="0" w:space="0" w:color="auto"/>
      </w:divBdr>
    </w:div>
    <w:div w:id="1178544110">
      <w:marLeft w:val="0"/>
      <w:marRight w:val="0"/>
      <w:marTop w:val="0"/>
      <w:marBottom w:val="0"/>
      <w:divBdr>
        <w:top w:val="none" w:sz="0" w:space="0" w:color="auto"/>
        <w:left w:val="none" w:sz="0" w:space="0" w:color="auto"/>
        <w:bottom w:val="none" w:sz="0" w:space="0" w:color="auto"/>
        <w:right w:val="none" w:sz="0" w:space="0" w:color="auto"/>
      </w:divBdr>
      <w:divsChild>
        <w:div w:id="1178544121">
          <w:marLeft w:val="0"/>
          <w:marRight w:val="0"/>
          <w:marTop w:val="0"/>
          <w:marBottom w:val="0"/>
          <w:divBdr>
            <w:top w:val="none" w:sz="0" w:space="0" w:color="auto"/>
            <w:left w:val="none" w:sz="0" w:space="0" w:color="auto"/>
            <w:bottom w:val="none" w:sz="0" w:space="0" w:color="auto"/>
            <w:right w:val="none" w:sz="0" w:space="0" w:color="auto"/>
          </w:divBdr>
        </w:div>
      </w:divsChild>
    </w:div>
    <w:div w:id="1178544111">
      <w:marLeft w:val="0"/>
      <w:marRight w:val="0"/>
      <w:marTop w:val="0"/>
      <w:marBottom w:val="0"/>
      <w:divBdr>
        <w:top w:val="none" w:sz="0" w:space="0" w:color="auto"/>
        <w:left w:val="none" w:sz="0" w:space="0" w:color="auto"/>
        <w:bottom w:val="none" w:sz="0" w:space="0" w:color="auto"/>
        <w:right w:val="none" w:sz="0" w:space="0" w:color="auto"/>
      </w:divBdr>
    </w:div>
    <w:div w:id="1178544112">
      <w:marLeft w:val="0"/>
      <w:marRight w:val="0"/>
      <w:marTop w:val="0"/>
      <w:marBottom w:val="0"/>
      <w:divBdr>
        <w:top w:val="none" w:sz="0" w:space="0" w:color="auto"/>
        <w:left w:val="none" w:sz="0" w:space="0" w:color="auto"/>
        <w:bottom w:val="none" w:sz="0" w:space="0" w:color="auto"/>
        <w:right w:val="none" w:sz="0" w:space="0" w:color="auto"/>
      </w:divBdr>
    </w:div>
    <w:div w:id="1178544114">
      <w:marLeft w:val="0"/>
      <w:marRight w:val="0"/>
      <w:marTop w:val="0"/>
      <w:marBottom w:val="0"/>
      <w:divBdr>
        <w:top w:val="none" w:sz="0" w:space="0" w:color="auto"/>
        <w:left w:val="none" w:sz="0" w:space="0" w:color="auto"/>
        <w:bottom w:val="none" w:sz="0" w:space="0" w:color="auto"/>
        <w:right w:val="none" w:sz="0" w:space="0" w:color="auto"/>
      </w:divBdr>
    </w:div>
    <w:div w:id="1178544115">
      <w:marLeft w:val="0"/>
      <w:marRight w:val="0"/>
      <w:marTop w:val="0"/>
      <w:marBottom w:val="0"/>
      <w:divBdr>
        <w:top w:val="none" w:sz="0" w:space="0" w:color="auto"/>
        <w:left w:val="none" w:sz="0" w:space="0" w:color="auto"/>
        <w:bottom w:val="none" w:sz="0" w:space="0" w:color="auto"/>
        <w:right w:val="none" w:sz="0" w:space="0" w:color="auto"/>
      </w:divBdr>
    </w:div>
    <w:div w:id="1178544116">
      <w:marLeft w:val="0"/>
      <w:marRight w:val="0"/>
      <w:marTop w:val="0"/>
      <w:marBottom w:val="0"/>
      <w:divBdr>
        <w:top w:val="none" w:sz="0" w:space="0" w:color="auto"/>
        <w:left w:val="none" w:sz="0" w:space="0" w:color="auto"/>
        <w:bottom w:val="none" w:sz="0" w:space="0" w:color="auto"/>
        <w:right w:val="none" w:sz="0" w:space="0" w:color="auto"/>
      </w:divBdr>
    </w:div>
    <w:div w:id="1178544117">
      <w:marLeft w:val="0"/>
      <w:marRight w:val="0"/>
      <w:marTop w:val="0"/>
      <w:marBottom w:val="0"/>
      <w:divBdr>
        <w:top w:val="none" w:sz="0" w:space="0" w:color="auto"/>
        <w:left w:val="none" w:sz="0" w:space="0" w:color="auto"/>
        <w:bottom w:val="none" w:sz="0" w:space="0" w:color="auto"/>
        <w:right w:val="none" w:sz="0" w:space="0" w:color="auto"/>
      </w:divBdr>
    </w:div>
    <w:div w:id="1178544119">
      <w:marLeft w:val="0"/>
      <w:marRight w:val="0"/>
      <w:marTop w:val="0"/>
      <w:marBottom w:val="0"/>
      <w:divBdr>
        <w:top w:val="none" w:sz="0" w:space="0" w:color="auto"/>
        <w:left w:val="none" w:sz="0" w:space="0" w:color="auto"/>
        <w:bottom w:val="none" w:sz="0" w:space="0" w:color="auto"/>
        <w:right w:val="none" w:sz="0" w:space="0" w:color="auto"/>
      </w:divBdr>
      <w:divsChild>
        <w:div w:id="1178544124">
          <w:marLeft w:val="0"/>
          <w:marRight w:val="0"/>
          <w:marTop w:val="0"/>
          <w:marBottom w:val="0"/>
          <w:divBdr>
            <w:top w:val="none" w:sz="0" w:space="0" w:color="auto"/>
            <w:left w:val="none" w:sz="0" w:space="0" w:color="auto"/>
            <w:bottom w:val="none" w:sz="0" w:space="0" w:color="auto"/>
            <w:right w:val="none" w:sz="0" w:space="0" w:color="auto"/>
          </w:divBdr>
        </w:div>
      </w:divsChild>
    </w:div>
    <w:div w:id="1178544120">
      <w:marLeft w:val="0"/>
      <w:marRight w:val="0"/>
      <w:marTop w:val="0"/>
      <w:marBottom w:val="0"/>
      <w:divBdr>
        <w:top w:val="none" w:sz="0" w:space="0" w:color="auto"/>
        <w:left w:val="none" w:sz="0" w:space="0" w:color="auto"/>
        <w:bottom w:val="none" w:sz="0" w:space="0" w:color="auto"/>
        <w:right w:val="none" w:sz="0" w:space="0" w:color="auto"/>
      </w:divBdr>
    </w:div>
    <w:div w:id="1178544122">
      <w:marLeft w:val="0"/>
      <w:marRight w:val="0"/>
      <w:marTop w:val="0"/>
      <w:marBottom w:val="0"/>
      <w:divBdr>
        <w:top w:val="none" w:sz="0" w:space="0" w:color="auto"/>
        <w:left w:val="none" w:sz="0" w:space="0" w:color="auto"/>
        <w:bottom w:val="none" w:sz="0" w:space="0" w:color="auto"/>
        <w:right w:val="none" w:sz="0" w:space="0" w:color="auto"/>
      </w:divBdr>
      <w:divsChild>
        <w:div w:id="1178544113">
          <w:marLeft w:val="0"/>
          <w:marRight w:val="0"/>
          <w:marTop w:val="0"/>
          <w:marBottom w:val="0"/>
          <w:divBdr>
            <w:top w:val="none" w:sz="0" w:space="0" w:color="auto"/>
            <w:left w:val="none" w:sz="0" w:space="0" w:color="auto"/>
            <w:bottom w:val="none" w:sz="0" w:space="0" w:color="auto"/>
            <w:right w:val="none" w:sz="0" w:space="0" w:color="auto"/>
          </w:divBdr>
        </w:div>
      </w:divsChild>
    </w:div>
    <w:div w:id="1178544123">
      <w:marLeft w:val="0"/>
      <w:marRight w:val="0"/>
      <w:marTop w:val="0"/>
      <w:marBottom w:val="0"/>
      <w:divBdr>
        <w:top w:val="none" w:sz="0" w:space="0" w:color="auto"/>
        <w:left w:val="none" w:sz="0" w:space="0" w:color="auto"/>
        <w:bottom w:val="none" w:sz="0" w:space="0" w:color="auto"/>
        <w:right w:val="none" w:sz="0" w:space="0" w:color="auto"/>
      </w:divBdr>
    </w:div>
    <w:div w:id="1178544125">
      <w:marLeft w:val="0"/>
      <w:marRight w:val="0"/>
      <w:marTop w:val="0"/>
      <w:marBottom w:val="0"/>
      <w:divBdr>
        <w:top w:val="none" w:sz="0" w:space="0" w:color="auto"/>
        <w:left w:val="none" w:sz="0" w:space="0" w:color="auto"/>
        <w:bottom w:val="none" w:sz="0" w:space="0" w:color="auto"/>
        <w:right w:val="none" w:sz="0" w:space="0" w:color="auto"/>
      </w:divBdr>
    </w:div>
    <w:div w:id="1178544126">
      <w:marLeft w:val="0"/>
      <w:marRight w:val="0"/>
      <w:marTop w:val="0"/>
      <w:marBottom w:val="0"/>
      <w:divBdr>
        <w:top w:val="none" w:sz="0" w:space="0" w:color="auto"/>
        <w:left w:val="none" w:sz="0" w:space="0" w:color="auto"/>
        <w:bottom w:val="none" w:sz="0" w:space="0" w:color="auto"/>
        <w:right w:val="none" w:sz="0" w:space="0" w:color="auto"/>
      </w:divBdr>
    </w:div>
    <w:div w:id="1178544127">
      <w:marLeft w:val="0"/>
      <w:marRight w:val="0"/>
      <w:marTop w:val="0"/>
      <w:marBottom w:val="0"/>
      <w:divBdr>
        <w:top w:val="none" w:sz="0" w:space="0" w:color="auto"/>
        <w:left w:val="none" w:sz="0" w:space="0" w:color="auto"/>
        <w:bottom w:val="none" w:sz="0" w:space="0" w:color="auto"/>
        <w:right w:val="none" w:sz="0" w:space="0" w:color="auto"/>
      </w:divBdr>
    </w:div>
    <w:div w:id="1178544128">
      <w:marLeft w:val="0"/>
      <w:marRight w:val="0"/>
      <w:marTop w:val="0"/>
      <w:marBottom w:val="0"/>
      <w:divBdr>
        <w:top w:val="none" w:sz="0" w:space="0" w:color="auto"/>
        <w:left w:val="none" w:sz="0" w:space="0" w:color="auto"/>
        <w:bottom w:val="none" w:sz="0" w:space="0" w:color="auto"/>
        <w:right w:val="none" w:sz="0" w:space="0" w:color="auto"/>
      </w:divBdr>
    </w:div>
    <w:div w:id="11785441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imegsevee.gr"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footer" Target="footer2.xml"/><Relationship Id="rId10" Type="http://schemas.openxmlformats.org/officeDocument/2006/relationships/hyperlink" Target="http://www.imegsevee.gr" TargetMode="External"/><Relationship Id="rId19" Type="http://schemas.openxmlformats.org/officeDocument/2006/relationships/chart" Target="charts/chart7.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5.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884608733201654"/>
          <c:y val="0.10526040035955612"/>
          <c:w val="0.77812960509629303"/>
          <c:h val="0.83061961970555465"/>
        </c:manualLayout>
      </c:layout>
      <c:barChart>
        <c:barDir val="bar"/>
        <c:grouping val="percentStacked"/>
        <c:varyColors val="0"/>
        <c:ser>
          <c:idx val="0"/>
          <c:order val="0"/>
          <c:tx>
            <c:strRef>
              <c:f>Φύλλο1!$B$1</c:f>
              <c:strCache>
                <c:ptCount val="1"/>
                <c:pt idx="0">
                  <c:v>Αύξηση</c:v>
                </c:pt>
              </c:strCache>
            </c:strRef>
          </c:tx>
          <c:spPr>
            <a:solidFill>
              <a:schemeClr val="accent3">
                <a:lumMod val="75000"/>
              </a:schemeClr>
            </a:solidFill>
          </c:spPr>
          <c:invertIfNegative val="0"/>
          <c:dLbls>
            <c:txPr>
              <a:bodyPr/>
              <a:lstStyle/>
              <a:p>
                <a:pPr>
                  <a:defRPr sz="900">
                    <a:solidFill>
                      <a:schemeClr val="bg1"/>
                    </a:solidFill>
                    <a:latin typeface="Calibri" panose="020F0502020204030204" pitchFamily="34" charset="0"/>
                  </a:defRPr>
                </a:pPr>
                <a:endParaRPr lang="el-GR"/>
              </a:p>
            </c:txPr>
            <c:showLegendKey val="0"/>
            <c:showVal val="1"/>
            <c:showCatName val="0"/>
            <c:showSerName val="0"/>
            <c:showPercent val="0"/>
            <c:showBubbleSize val="0"/>
            <c:showLeaderLines val="0"/>
          </c:dLbls>
          <c:cat>
            <c:strRef>
              <c:f>Φύλλο1!$A$2:$A$8</c:f>
              <c:strCache>
                <c:ptCount val="7"/>
                <c:pt idx="0">
                  <c:v>ΑΠΑΣΧΟΛΗΣΗ</c:v>
                </c:pt>
                <c:pt idx="1">
                  <c:v>ΤΙΜΕΣ</c:v>
                </c:pt>
                <c:pt idx="2">
                  <c:v>ΕΠΕΝΔΥΣΕΙΣ</c:v>
                </c:pt>
                <c:pt idx="3">
                  <c:v>ΠΑΡΑΓΓΕΛΙΕΣ</c:v>
                </c:pt>
                <c:pt idx="4">
                  <c:v>ΡΕΥΣΤΟΤΗΤΑ</c:v>
                </c:pt>
                <c:pt idx="5">
                  <c:v>ΖΗΤΗΣΗ</c:v>
                </c:pt>
                <c:pt idx="6">
                  <c:v>ΚΥΚΛΟΣ ΕΡΓΑΣΙΩΝ</c:v>
                </c:pt>
              </c:strCache>
            </c:strRef>
          </c:cat>
          <c:val>
            <c:numRef>
              <c:f>Φύλλο1!$B$2:$B$8</c:f>
              <c:numCache>
                <c:formatCode>General</c:formatCode>
                <c:ptCount val="7"/>
                <c:pt idx="0">
                  <c:v>4.5999999999999996</c:v>
                </c:pt>
                <c:pt idx="1">
                  <c:v>8.7000000000000011</c:v>
                </c:pt>
                <c:pt idx="2">
                  <c:v>7.7</c:v>
                </c:pt>
                <c:pt idx="3">
                  <c:v>10.200000000000001</c:v>
                </c:pt>
                <c:pt idx="4">
                  <c:v>8</c:v>
                </c:pt>
                <c:pt idx="5">
                  <c:v>14.6</c:v>
                </c:pt>
                <c:pt idx="6">
                  <c:v>13.4</c:v>
                </c:pt>
              </c:numCache>
            </c:numRef>
          </c:val>
        </c:ser>
        <c:ser>
          <c:idx val="1"/>
          <c:order val="1"/>
          <c:tx>
            <c:strRef>
              <c:f>Φύλλο1!$C$1</c:f>
              <c:strCache>
                <c:ptCount val="1"/>
                <c:pt idx="0">
                  <c:v>Μείωση</c:v>
                </c:pt>
              </c:strCache>
            </c:strRef>
          </c:tx>
          <c:invertIfNegative val="0"/>
          <c:dLbls>
            <c:txPr>
              <a:bodyPr/>
              <a:lstStyle/>
              <a:p>
                <a:pPr algn="ctr">
                  <a:defRPr lang="el-GR" sz="900" b="0" i="0" u="none" strike="noStrike" kern="1200" baseline="0">
                    <a:solidFill>
                      <a:prstClr val="white"/>
                    </a:solidFill>
                    <a:latin typeface="Calibri" panose="020F0502020204030204" pitchFamily="34" charset="0"/>
                    <a:ea typeface="+mn-ea"/>
                    <a:cs typeface="+mn-cs"/>
                  </a:defRPr>
                </a:pPr>
                <a:endParaRPr lang="el-GR"/>
              </a:p>
            </c:txPr>
            <c:showLegendKey val="0"/>
            <c:showVal val="1"/>
            <c:showCatName val="0"/>
            <c:showSerName val="0"/>
            <c:showPercent val="0"/>
            <c:showBubbleSize val="0"/>
            <c:showLeaderLines val="0"/>
          </c:dLbls>
          <c:cat>
            <c:strRef>
              <c:f>Φύλλο1!$A$2:$A$8</c:f>
              <c:strCache>
                <c:ptCount val="7"/>
                <c:pt idx="0">
                  <c:v>ΑΠΑΣΧΟΛΗΣΗ</c:v>
                </c:pt>
                <c:pt idx="1">
                  <c:v>ΤΙΜΕΣ</c:v>
                </c:pt>
                <c:pt idx="2">
                  <c:v>ΕΠΕΝΔΥΣΕΙΣ</c:v>
                </c:pt>
                <c:pt idx="3">
                  <c:v>ΠΑΡΑΓΓΕΛΙΕΣ</c:v>
                </c:pt>
                <c:pt idx="4">
                  <c:v>ΡΕΥΣΤΟΤΗΤΑ</c:v>
                </c:pt>
                <c:pt idx="5">
                  <c:v>ΖΗΤΗΣΗ</c:v>
                </c:pt>
                <c:pt idx="6">
                  <c:v>ΚΥΚΛΟΣ ΕΡΓΑΣΙΩΝ</c:v>
                </c:pt>
              </c:strCache>
            </c:strRef>
          </c:cat>
          <c:val>
            <c:numRef>
              <c:f>Φύλλο1!$C$2:$C$8</c:f>
              <c:numCache>
                <c:formatCode>General</c:formatCode>
                <c:ptCount val="7"/>
                <c:pt idx="0">
                  <c:v>9.2000000000000011</c:v>
                </c:pt>
                <c:pt idx="1">
                  <c:v>46.4</c:v>
                </c:pt>
                <c:pt idx="2">
                  <c:v>34.700000000000003</c:v>
                </c:pt>
                <c:pt idx="3">
                  <c:v>65.900000000000006</c:v>
                </c:pt>
                <c:pt idx="4">
                  <c:v>70.099999999999994</c:v>
                </c:pt>
                <c:pt idx="5">
                  <c:v>62.4</c:v>
                </c:pt>
                <c:pt idx="6">
                  <c:v>59.8</c:v>
                </c:pt>
              </c:numCache>
            </c:numRef>
          </c:val>
        </c:ser>
        <c:ser>
          <c:idx val="2"/>
          <c:order val="2"/>
          <c:tx>
            <c:strRef>
              <c:f>Φύλλο1!$D$1</c:f>
              <c:strCache>
                <c:ptCount val="1"/>
                <c:pt idx="0">
                  <c:v>Χωρίς μεταβολή</c:v>
                </c:pt>
              </c:strCache>
            </c:strRef>
          </c:tx>
          <c:spPr>
            <a:solidFill>
              <a:schemeClr val="accent1">
                <a:lumMod val="75000"/>
              </a:schemeClr>
            </a:solidFill>
          </c:spPr>
          <c:invertIfNegative val="0"/>
          <c:dLbls>
            <c:txPr>
              <a:bodyPr/>
              <a:lstStyle/>
              <a:p>
                <a:pPr algn="ctr">
                  <a:defRPr lang="el-GR" sz="900" b="0" i="0" u="none" strike="noStrike" kern="1200" baseline="0">
                    <a:solidFill>
                      <a:prstClr val="white"/>
                    </a:solidFill>
                    <a:latin typeface="Calibri" panose="020F0502020204030204" pitchFamily="34" charset="0"/>
                    <a:ea typeface="+mn-ea"/>
                    <a:cs typeface="+mn-cs"/>
                  </a:defRPr>
                </a:pPr>
                <a:endParaRPr lang="el-GR"/>
              </a:p>
            </c:txPr>
            <c:showLegendKey val="0"/>
            <c:showVal val="1"/>
            <c:showCatName val="0"/>
            <c:showSerName val="0"/>
            <c:showPercent val="0"/>
            <c:showBubbleSize val="0"/>
            <c:showLeaderLines val="0"/>
          </c:dLbls>
          <c:cat>
            <c:strRef>
              <c:f>Φύλλο1!$A$2:$A$8</c:f>
              <c:strCache>
                <c:ptCount val="7"/>
                <c:pt idx="0">
                  <c:v>ΑΠΑΣΧΟΛΗΣΗ</c:v>
                </c:pt>
                <c:pt idx="1">
                  <c:v>ΤΙΜΕΣ</c:v>
                </c:pt>
                <c:pt idx="2">
                  <c:v>ΕΠΕΝΔΥΣΕΙΣ</c:v>
                </c:pt>
                <c:pt idx="3">
                  <c:v>ΠΑΡΑΓΓΕΛΙΕΣ</c:v>
                </c:pt>
                <c:pt idx="4">
                  <c:v>ΡΕΥΣΤΟΤΗΤΑ</c:v>
                </c:pt>
                <c:pt idx="5">
                  <c:v>ΖΗΤΗΣΗ</c:v>
                </c:pt>
                <c:pt idx="6">
                  <c:v>ΚΥΚΛΟΣ ΕΡΓΑΣΙΩΝ</c:v>
                </c:pt>
              </c:strCache>
            </c:strRef>
          </c:cat>
          <c:val>
            <c:numRef>
              <c:f>Φύλλο1!$D$2:$D$8</c:f>
              <c:numCache>
                <c:formatCode>General</c:formatCode>
                <c:ptCount val="7"/>
                <c:pt idx="0">
                  <c:v>83.3</c:v>
                </c:pt>
                <c:pt idx="1">
                  <c:v>44.6</c:v>
                </c:pt>
                <c:pt idx="2">
                  <c:v>51.1</c:v>
                </c:pt>
                <c:pt idx="3">
                  <c:v>21.8</c:v>
                </c:pt>
                <c:pt idx="4">
                  <c:v>21.2</c:v>
                </c:pt>
                <c:pt idx="5">
                  <c:v>22.8</c:v>
                </c:pt>
                <c:pt idx="6">
                  <c:v>26</c:v>
                </c:pt>
              </c:numCache>
            </c:numRef>
          </c:val>
        </c:ser>
        <c:ser>
          <c:idx val="3"/>
          <c:order val="3"/>
          <c:tx>
            <c:strRef>
              <c:f>Φύλλο1!$E$1</c:f>
              <c:strCache>
                <c:ptCount val="1"/>
                <c:pt idx="0">
                  <c:v>ΔΑ</c:v>
                </c:pt>
              </c:strCache>
            </c:strRef>
          </c:tx>
          <c:spPr>
            <a:solidFill>
              <a:schemeClr val="tx1">
                <a:lumMod val="50000"/>
                <a:lumOff val="50000"/>
              </a:schemeClr>
            </a:solidFill>
          </c:spPr>
          <c:invertIfNegative val="0"/>
          <c:dLbls>
            <c:dLbl>
              <c:idx val="0"/>
              <c:layout>
                <c:manualLayout>
                  <c:x val="1.8302473729334259E-2"/>
                  <c:y val="9.7981808272933507E-17"/>
                </c:manualLayout>
              </c:layout>
              <c:spPr/>
              <c:txPr>
                <a:bodyPr/>
                <a:lstStyle/>
                <a:p>
                  <a:pPr algn="ctr">
                    <a:defRPr lang="el-GR" sz="900" b="0" i="0" u="none" strike="noStrike" kern="1200" baseline="0">
                      <a:solidFill>
                        <a:schemeClr val="tx1"/>
                      </a:solidFill>
                      <a:latin typeface="Calibri" panose="020F0502020204030204" pitchFamily="34" charset="0"/>
                      <a:ea typeface="+mn-ea"/>
                      <a:cs typeface="+mn-cs"/>
                    </a:defRPr>
                  </a:pPr>
                  <a:endParaRPr lang="el-GR"/>
                </a:p>
              </c:txPr>
              <c:showLegendKey val="0"/>
              <c:showVal val="1"/>
              <c:showCatName val="0"/>
              <c:showSerName val="0"/>
              <c:showPercent val="0"/>
              <c:showBubbleSize val="0"/>
            </c:dLbl>
            <c:dLbl>
              <c:idx val="1"/>
              <c:layout>
                <c:manualLayout>
                  <c:x val="1.9966334977455341E-2"/>
                  <c:y val="-2.6722620045585141E-3"/>
                </c:manualLayout>
              </c:layout>
              <c:spPr/>
              <c:txPr>
                <a:bodyPr/>
                <a:lstStyle/>
                <a:p>
                  <a:pPr algn="ctr">
                    <a:defRPr lang="el-GR" sz="900" b="0" i="0" u="none" strike="noStrike" kern="1200" baseline="0">
                      <a:solidFill>
                        <a:schemeClr val="tx1"/>
                      </a:solidFill>
                      <a:latin typeface="Calibri" panose="020F0502020204030204" pitchFamily="34" charset="0"/>
                      <a:ea typeface="+mn-ea"/>
                      <a:cs typeface="+mn-cs"/>
                    </a:defRPr>
                  </a:pPr>
                  <a:endParaRPr lang="el-GR"/>
                </a:p>
              </c:txPr>
              <c:showLegendKey val="0"/>
              <c:showVal val="1"/>
              <c:showCatName val="0"/>
              <c:showSerName val="0"/>
              <c:showPercent val="0"/>
              <c:showBubbleSize val="0"/>
            </c:dLbl>
            <c:dLbl>
              <c:idx val="2"/>
              <c:layout>
                <c:manualLayout>
                  <c:x val="2.6621779969940456E-2"/>
                  <c:y val="-2.672262004558416E-3"/>
                </c:manualLayout>
              </c:layout>
              <c:spPr/>
              <c:txPr>
                <a:bodyPr/>
                <a:lstStyle/>
                <a:p>
                  <a:pPr algn="ctr">
                    <a:defRPr lang="el-GR" sz="900" b="0" i="0" u="none" strike="noStrike" kern="1200" baseline="0">
                      <a:solidFill>
                        <a:schemeClr val="tx1"/>
                      </a:solidFill>
                      <a:latin typeface="Calibri" panose="020F0502020204030204" pitchFamily="34" charset="0"/>
                      <a:ea typeface="+mn-ea"/>
                      <a:cs typeface="+mn-cs"/>
                    </a:defRPr>
                  </a:pPr>
                  <a:endParaRPr lang="el-GR"/>
                </a:p>
              </c:txPr>
              <c:showLegendKey val="0"/>
              <c:showVal val="1"/>
              <c:showCatName val="0"/>
              <c:showSerName val="0"/>
              <c:showPercent val="0"/>
              <c:showBubbleSize val="0"/>
            </c:dLbl>
            <c:dLbl>
              <c:idx val="3"/>
              <c:layout>
                <c:manualLayout>
                  <c:x val="2.8285641218061611E-2"/>
                  <c:y val="8.0167860136753314E-3"/>
                </c:manualLayout>
              </c:layout>
              <c:spPr/>
              <c:txPr>
                <a:bodyPr/>
                <a:lstStyle/>
                <a:p>
                  <a:pPr algn="ctr">
                    <a:defRPr lang="el-GR" sz="900" b="0" i="0" u="none" strike="noStrike" kern="1200" baseline="0">
                      <a:solidFill>
                        <a:schemeClr val="tx1"/>
                      </a:solidFill>
                      <a:latin typeface="Calibri" panose="020F0502020204030204" pitchFamily="34" charset="0"/>
                      <a:ea typeface="+mn-ea"/>
                      <a:cs typeface="+mn-cs"/>
                    </a:defRPr>
                  </a:pPr>
                  <a:endParaRPr lang="el-GR"/>
                </a:p>
              </c:txPr>
              <c:showLegendKey val="0"/>
              <c:showVal val="1"/>
              <c:showCatName val="0"/>
              <c:showSerName val="0"/>
              <c:showPercent val="0"/>
              <c:showBubbleSize val="0"/>
            </c:dLbl>
            <c:dLbl>
              <c:idx val="4"/>
              <c:layout>
                <c:manualLayout>
                  <c:x val="2.163019622557676E-2"/>
                  <c:y val="-8.0167860136753314E-3"/>
                </c:manualLayout>
              </c:layout>
              <c:spPr/>
              <c:txPr>
                <a:bodyPr/>
                <a:lstStyle/>
                <a:p>
                  <a:pPr algn="ctr">
                    <a:defRPr lang="el-GR" sz="900" b="0" i="0" u="none" strike="noStrike" kern="1200" baseline="0">
                      <a:solidFill>
                        <a:schemeClr val="tx1"/>
                      </a:solidFill>
                      <a:latin typeface="Calibri" panose="020F0502020204030204" pitchFamily="34" charset="0"/>
                      <a:ea typeface="+mn-ea"/>
                      <a:cs typeface="+mn-cs"/>
                    </a:defRPr>
                  </a:pPr>
                  <a:endParaRPr lang="el-GR"/>
                </a:p>
              </c:txPr>
              <c:showLegendKey val="0"/>
              <c:showVal val="1"/>
              <c:showCatName val="0"/>
              <c:showSerName val="0"/>
              <c:showPercent val="0"/>
              <c:showBubbleSize val="0"/>
            </c:dLbl>
            <c:dLbl>
              <c:idx val="5"/>
              <c:layout>
                <c:manualLayout>
                  <c:x val="1.9966334977455341E-2"/>
                  <c:y val="2.672262004558416E-3"/>
                </c:manualLayout>
              </c:layout>
              <c:spPr/>
              <c:txPr>
                <a:bodyPr/>
                <a:lstStyle/>
                <a:p>
                  <a:pPr algn="ctr">
                    <a:defRPr lang="el-GR" sz="900" b="0" i="0" u="none" strike="noStrike" kern="1200" baseline="0">
                      <a:solidFill>
                        <a:schemeClr val="tx1"/>
                      </a:solidFill>
                      <a:latin typeface="Calibri" panose="020F0502020204030204" pitchFamily="34" charset="0"/>
                      <a:ea typeface="+mn-ea"/>
                      <a:cs typeface="+mn-cs"/>
                    </a:defRPr>
                  </a:pPr>
                  <a:endParaRPr lang="el-GR"/>
                </a:p>
              </c:txPr>
              <c:showLegendKey val="0"/>
              <c:showVal val="1"/>
              <c:showCatName val="0"/>
              <c:showSerName val="0"/>
              <c:showPercent val="0"/>
              <c:showBubbleSize val="0"/>
            </c:dLbl>
            <c:dLbl>
              <c:idx val="6"/>
              <c:layout>
                <c:manualLayout>
                  <c:x val="1.9966334977455341E-2"/>
                  <c:y val="2.672262004558416E-3"/>
                </c:manualLayout>
              </c:layout>
              <c:spPr/>
              <c:txPr>
                <a:bodyPr/>
                <a:lstStyle/>
                <a:p>
                  <a:pPr algn="ctr">
                    <a:defRPr lang="el-GR" sz="900" b="0" i="0" u="none" strike="noStrike" kern="1200" baseline="0">
                      <a:solidFill>
                        <a:schemeClr val="tx1"/>
                      </a:solidFill>
                      <a:latin typeface="Calibri" panose="020F0502020204030204" pitchFamily="34" charset="0"/>
                      <a:ea typeface="+mn-ea"/>
                      <a:cs typeface="+mn-cs"/>
                    </a:defRPr>
                  </a:pPr>
                  <a:endParaRPr lang="el-GR"/>
                </a:p>
              </c:txPr>
              <c:showLegendKey val="0"/>
              <c:showVal val="1"/>
              <c:showCatName val="0"/>
              <c:showSerName val="0"/>
              <c:showPercent val="0"/>
              <c:showBubbleSize val="0"/>
            </c:dLbl>
            <c:txPr>
              <a:bodyPr/>
              <a:lstStyle/>
              <a:p>
                <a:pPr algn="ctr">
                  <a:defRPr lang="el-GR" sz="900" b="0" i="0" u="none" strike="noStrike" kern="1200" baseline="0">
                    <a:solidFill>
                      <a:prstClr val="white"/>
                    </a:solidFill>
                    <a:latin typeface="Calibri" panose="020F0502020204030204" pitchFamily="34" charset="0"/>
                    <a:ea typeface="+mn-ea"/>
                    <a:cs typeface="+mn-cs"/>
                  </a:defRPr>
                </a:pPr>
                <a:endParaRPr lang="el-GR"/>
              </a:p>
            </c:txPr>
            <c:showLegendKey val="0"/>
            <c:showVal val="1"/>
            <c:showCatName val="0"/>
            <c:showSerName val="0"/>
            <c:showPercent val="0"/>
            <c:showBubbleSize val="0"/>
            <c:showLeaderLines val="0"/>
          </c:dLbls>
          <c:cat>
            <c:strRef>
              <c:f>Φύλλο1!$A$2:$A$8</c:f>
              <c:strCache>
                <c:ptCount val="7"/>
                <c:pt idx="0">
                  <c:v>ΑΠΑΣΧΟΛΗΣΗ</c:v>
                </c:pt>
                <c:pt idx="1">
                  <c:v>ΤΙΜΕΣ</c:v>
                </c:pt>
                <c:pt idx="2">
                  <c:v>ΕΠΕΝΔΥΣΕΙΣ</c:v>
                </c:pt>
                <c:pt idx="3">
                  <c:v>ΠΑΡΑΓΓΕΛΙΕΣ</c:v>
                </c:pt>
                <c:pt idx="4">
                  <c:v>ΡΕΥΣΤΟΤΗΤΑ</c:v>
                </c:pt>
                <c:pt idx="5">
                  <c:v>ΖΗΤΗΣΗ</c:v>
                </c:pt>
                <c:pt idx="6">
                  <c:v>ΚΥΚΛΟΣ ΕΡΓΑΣΙΩΝ</c:v>
                </c:pt>
              </c:strCache>
            </c:strRef>
          </c:cat>
          <c:val>
            <c:numRef>
              <c:f>Φύλλο1!$E$2:$E$8</c:f>
              <c:numCache>
                <c:formatCode>General</c:formatCode>
                <c:ptCount val="7"/>
                <c:pt idx="0">
                  <c:v>2.9</c:v>
                </c:pt>
                <c:pt idx="1">
                  <c:v>0.30000000000000032</c:v>
                </c:pt>
                <c:pt idx="2">
                  <c:v>6.5</c:v>
                </c:pt>
                <c:pt idx="3">
                  <c:v>2</c:v>
                </c:pt>
                <c:pt idx="4">
                  <c:v>0.70000000000000062</c:v>
                </c:pt>
                <c:pt idx="5">
                  <c:v>0.2</c:v>
                </c:pt>
                <c:pt idx="6">
                  <c:v>0.8</c:v>
                </c:pt>
              </c:numCache>
            </c:numRef>
          </c:val>
        </c:ser>
        <c:dLbls>
          <c:showLegendKey val="0"/>
          <c:showVal val="0"/>
          <c:showCatName val="0"/>
          <c:showSerName val="0"/>
          <c:showPercent val="0"/>
          <c:showBubbleSize val="0"/>
        </c:dLbls>
        <c:gapWidth val="50"/>
        <c:overlap val="100"/>
        <c:axId val="57662848"/>
        <c:axId val="107684992"/>
      </c:barChart>
      <c:catAx>
        <c:axId val="57662848"/>
        <c:scaling>
          <c:orientation val="minMax"/>
        </c:scaling>
        <c:delete val="0"/>
        <c:axPos val="l"/>
        <c:majorTickMark val="out"/>
        <c:minorTickMark val="none"/>
        <c:tickLblPos val="nextTo"/>
        <c:txPr>
          <a:bodyPr/>
          <a:lstStyle/>
          <a:p>
            <a:pPr>
              <a:defRPr sz="900">
                <a:latin typeface="Calibri" panose="020F0502020204030204" pitchFamily="34" charset="0"/>
              </a:defRPr>
            </a:pPr>
            <a:endParaRPr lang="el-GR"/>
          </a:p>
        </c:txPr>
        <c:crossAx val="107684992"/>
        <c:crosses val="autoZero"/>
        <c:auto val="1"/>
        <c:lblAlgn val="ctr"/>
        <c:lblOffset val="100"/>
        <c:noMultiLvlLbl val="0"/>
      </c:catAx>
      <c:valAx>
        <c:axId val="107684992"/>
        <c:scaling>
          <c:orientation val="minMax"/>
        </c:scaling>
        <c:delete val="0"/>
        <c:axPos val="b"/>
        <c:majorGridlines/>
        <c:numFmt formatCode="0%" sourceLinked="1"/>
        <c:majorTickMark val="out"/>
        <c:minorTickMark val="none"/>
        <c:tickLblPos val="nextTo"/>
        <c:txPr>
          <a:bodyPr/>
          <a:lstStyle/>
          <a:p>
            <a:pPr>
              <a:defRPr sz="900">
                <a:latin typeface="Calibri" panose="020F0502020204030204" pitchFamily="34" charset="0"/>
              </a:defRPr>
            </a:pPr>
            <a:endParaRPr lang="el-GR"/>
          </a:p>
        </c:txPr>
        <c:crossAx val="57662848"/>
        <c:crosses val="autoZero"/>
        <c:crossBetween val="between"/>
      </c:valAx>
    </c:plotArea>
    <c:legend>
      <c:legendPos val="r"/>
      <c:layout>
        <c:manualLayout>
          <c:xMode val="edge"/>
          <c:yMode val="edge"/>
          <c:x val="0.21509562778130142"/>
          <c:y val="2.6718103190121373E-2"/>
          <c:w val="0.66327029276441019"/>
          <c:h val="4.2934418698222704E-2"/>
        </c:manualLayout>
      </c:layout>
      <c:overlay val="0"/>
      <c:txPr>
        <a:bodyPr/>
        <a:lstStyle/>
        <a:p>
          <a:pPr>
            <a:defRPr sz="800">
              <a:latin typeface="Calibri" panose="020F0502020204030204" pitchFamily="34" charset="0"/>
            </a:defRPr>
          </a:pPr>
          <a:endParaRPr lang="el-GR"/>
        </a:p>
      </c:txPr>
    </c:legend>
    <c:plotVisOnly val="1"/>
    <c:dispBlanksAs val="gap"/>
    <c:showDLblsOverMax val="0"/>
  </c:chart>
  <c:txPr>
    <a:bodyPr/>
    <a:lstStyle/>
    <a:p>
      <a:pPr>
        <a:defRPr sz="1800"/>
      </a:pPr>
      <a:endParaRPr lang="el-G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Φύλλο1!$B$1</c:f>
              <c:strCache>
                <c:ptCount val="1"/>
                <c:pt idx="0">
                  <c:v>Σειρά 1</c:v>
                </c:pt>
              </c:strCache>
            </c:strRef>
          </c:tx>
          <c:spPr>
            <a:solidFill>
              <a:schemeClr val="accent3">
                <a:lumMod val="60000"/>
                <a:lumOff val="40000"/>
              </a:schemeClr>
            </a:solidFill>
          </c:spPr>
          <c:invertIfNegative val="0"/>
          <c:dPt>
            <c:idx val="1"/>
            <c:invertIfNegative val="0"/>
            <c:bubble3D val="0"/>
            <c:spPr>
              <a:solidFill>
                <a:schemeClr val="accent4">
                  <a:lumMod val="40000"/>
                  <a:lumOff val="60000"/>
                </a:schemeClr>
              </a:solidFill>
            </c:spPr>
          </c:dPt>
          <c:dPt>
            <c:idx val="3"/>
            <c:invertIfNegative val="0"/>
            <c:bubble3D val="0"/>
            <c:spPr>
              <a:solidFill>
                <a:schemeClr val="accent4">
                  <a:lumMod val="40000"/>
                  <a:lumOff val="60000"/>
                </a:schemeClr>
              </a:solidFill>
            </c:spPr>
          </c:dPt>
          <c:dPt>
            <c:idx val="5"/>
            <c:invertIfNegative val="0"/>
            <c:bubble3D val="0"/>
            <c:spPr>
              <a:solidFill>
                <a:schemeClr val="accent4">
                  <a:lumMod val="40000"/>
                  <a:lumOff val="60000"/>
                </a:schemeClr>
              </a:solidFill>
            </c:spPr>
          </c:dPt>
          <c:dPt>
            <c:idx val="7"/>
            <c:invertIfNegative val="0"/>
            <c:bubble3D val="0"/>
            <c:spPr>
              <a:solidFill>
                <a:schemeClr val="accent4">
                  <a:lumMod val="40000"/>
                  <a:lumOff val="60000"/>
                </a:schemeClr>
              </a:solidFill>
            </c:spPr>
          </c:dPt>
          <c:dPt>
            <c:idx val="9"/>
            <c:invertIfNegative val="0"/>
            <c:bubble3D val="0"/>
            <c:spPr>
              <a:solidFill>
                <a:schemeClr val="accent4">
                  <a:lumMod val="40000"/>
                  <a:lumOff val="60000"/>
                </a:schemeClr>
              </a:solidFill>
            </c:spPr>
          </c:dPt>
          <c:dPt>
            <c:idx val="11"/>
            <c:invertIfNegative val="0"/>
            <c:bubble3D val="0"/>
            <c:spPr>
              <a:solidFill>
                <a:schemeClr val="accent4">
                  <a:lumMod val="40000"/>
                  <a:lumOff val="60000"/>
                </a:schemeClr>
              </a:solidFill>
            </c:spPr>
          </c:dPt>
          <c:dPt>
            <c:idx val="13"/>
            <c:invertIfNegative val="0"/>
            <c:bubble3D val="0"/>
            <c:spPr>
              <a:solidFill>
                <a:schemeClr val="accent4">
                  <a:lumMod val="40000"/>
                  <a:lumOff val="60000"/>
                </a:schemeClr>
              </a:solidFill>
            </c:spPr>
          </c:dPt>
          <c:dLbls>
            <c:txPr>
              <a:bodyPr/>
              <a:lstStyle/>
              <a:p>
                <a:pPr>
                  <a:defRPr sz="800">
                    <a:latin typeface="Calibri" panose="020F0502020204030204" pitchFamily="34" charset="0"/>
                  </a:defRPr>
                </a:pPr>
                <a:endParaRPr lang="el-GR"/>
              </a:p>
            </c:txPr>
            <c:showLegendKey val="0"/>
            <c:showVal val="1"/>
            <c:showCatName val="0"/>
            <c:showSerName val="0"/>
            <c:showPercent val="0"/>
            <c:showBubbleSize val="0"/>
            <c:showLeaderLines val="0"/>
          </c:dLbls>
          <c:cat>
            <c:strRef>
              <c:f>Φύλλο1!$A$2:$A$15</c:f>
              <c:strCache>
                <c:ptCount val="14"/>
                <c:pt idx="0">
                  <c:v>ΙΟΥΛ. 2010</c:v>
                </c:pt>
                <c:pt idx="1">
                  <c:v>ΙΑΝ. 2011</c:v>
                </c:pt>
                <c:pt idx="2">
                  <c:v>ΙΟΥΛ. 2011</c:v>
                </c:pt>
                <c:pt idx="3">
                  <c:v>ΙΑΝ. 2012</c:v>
                </c:pt>
                <c:pt idx="4">
                  <c:v>ΙΟΥΛ. 2012</c:v>
                </c:pt>
                <c:pt idx="5">
                  <c:v>ΙΑΝ. 2013</c:v>
                </c:pt>
                <c:pt idx="6">
                  <c:v>ΙΟΥΛ. 2013</c:v>
                </c:pt>
                <c:pt idx="7">
                  <c:v>ΦΕΒΡ. 2014</c:v>
                </c:pt>
                <c:pt idx="8">
                  <c:v>ΙΟΥΛ. 2014</c:v>
                </c:pt>
                <c:pt idx="9">
                  <c:v>ΦΕΒΡ. 2015</c:v>
                </c:pt>
                <c:pt idx="10">
                  <c:v>ΙΟΥΛ. 2015</c:v>
                </c:pt>
                <c:pt idx="11">
                  <c:v>ΦΕΒΡ. 2016</c:v>
                </c:pt>
                <c:pt idx="12">
                  <c:v>ΙΟΥΛ. 2016</c:v>
                </c:pt>
                <c:pt idx="13">
                  <c:v>ΦΕΒΡ. 2017</c:v>
                </c:pt>
              </c:strCache>
            </c:strRef>
          </c:cat>
          <c:val>
            <c:numRef>
              <c:f>Φύλλο1!$B$2:$B$15</c:f>
              <c:numCache>
                <c:formatCode>General</c:formatCode>
                <c:ptCount val="14"/>
                <c:pt idx="0">
                  <c:v>15</c:v>
                </c:pt>
                <c:pt idx="1">
                  <c:v>15.6</c:v>
                </c:pt>
                <c:pt idx="2">
                  <c:v>19.399999999999999</c:v>
                </c:pt>
                <c:pt idx="3">
                  <c:v>28.6</c:v>
                </c:pt>
                <c:pt idx="4">
                  <c:v>33.200000000000003</c:v>
                </c:pt>
                <c:pt idx="5">
                  <c:v>43.6</c:v>
                </c:pt>
                <c:pt idx="6">
                  <c:v>49.3</c:v>
                </c:pt>
                <c:pt idx="7">
                  <c:v>43.5</c:v>
                </c:pt>
                <c:pt idx="8">
                  <c:v>38.5</c:v>
                </c:pt>
                <c:pt idx="9">
                  <c:v>33.9</c:v>
                </c:pt>
                <c:pt idx="10">
                  <c:v>25.2</c:v>
                </c:pt>
                <c:pt idx="11">
                  <c:v>32.800000000000004</c:v>
                </c:pt>
                <c:pt idx="12">
                  <c:v>28</c:v>
                </c:pt>
                <c:pt idx="13">
                  <c:v>31.8</c:v>
                </c:pt>
              </c:numCache>
            </c:numRef>
          </c:val>
        </c:ser>
        <c:dLbls>
          <c:showLegendKey val="0"/>
          <c:showVal val="0"/>
          <c:showCatName val="0"/>
          <c:showSerName val="0"/>
          <c:showPercent val="0"/>
          <c:showBubbleSize val="0"/>
        </c:dLbls>
        <c:gapWidth val="75"/>
        <c:axId val="112546560"/>
        <c:axId val="112548096"/>
      </c:barChart>
      <c:catAx>
        <c:axId val="112546560"/>
        <c:scaling>
          <c:orientation val="minMax"/>
        </c:scaling>
        <c:delete val="0"/>
        <c:axPos val="b"/>
        <c:majorTickMark val="out"/>
        <c:minorTickMark val="none"/>
        <c:tickLblPos val="nextTo"/>
        <c:txPr>
          <a:bodyPr/>
          <a:lstStyle/>
          <a:p>
            <a:pPr>
              <a:defRPr sz="800">
                <a:latin typeface="Calibri" panose="020F0502020204030204" pitchFamily="34" charset="0"/>
              </a:defRPr>
            </a:pPr>
            <a:endParaRPr lang="el-GR"/>
          </a:p>
        </c:txPr>
        <c:crossAx val="112548096"/>
        <c:crosses val="autoZero"/>
        <c:auto val="1"/>
        <c:lblAlgn val="ctr"/>
        <c:lblOffset val="100"/>
        <c:noMultiLvlLbl val="0"/>
      </c:catAx>
      <c:valAx>
        <c:axId val="112548096"/>
        <c:scaling>
          <c:orientation val="minMax"/>
        </c:scaling>
        <c:delete val="0"/>
        <c:axPos val="l"/>
        <c:majorGridlines/>
        <c:numFmt formatCode="General" sourceLinked="1"/>
        <c:majorTickMark val="out"/>
        <c:minorTickMark val="none"/>
        <c:tickLblPos val="nextTo"/>
        <c:txPr>
          <a:bodyPr/>
          <a:lstStyle/>
          <a:p>
            <a:pPr>
              <a:defRPr sz="800">
                <a:latin typeface="Calibri" panose="020F0502020204030204" pitchFamily="34" charset="0"/>
              </a:defRPr>
            </a:pPr>
            <a:endParaRPr lang="el-GR"/>
          </a:p>
        </c:txPr>
        <c:crossAx val="112546560"/>
        <c:crosses val="autoZero"/>
        <c:crossBetween val="between"/>
      </c:valAx>
    </c:plotArea>
    <c:plotVisOnly val="1"/>
    <c:dispBlanksAs val="gap"/>
    <c:showDLblsOverMax val="0"/>
  </c:chart>
  <c:txPr>
    <a:bodyPr/>
    <a:lstStyle/>
    <a:p>
      <a:pPr>
        <a:defRPr sz="1800"/>
      </a:pPr>
      <a:endParaRPr lang="el-G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Φύλλο10!$E$1</c:f>
              <c:strCache>
                <c:ptCount val="1"/>
                <c:pt idx="0">
                  <c:v>ΠΛΗΡΗΣ</c:v>
                </c:pt>
              </c:strCache>
            </c:strRef>
          </c:tx>
          <c:invertIfNegative val="0"/>
          <c:dLbls>
            <c:dLbl>
              <c:idx val="0"/>
              <c:layout>
                <c:manualLayout>
                  <c:x val="1.6666666666666666E-2"/>
                  <c:y val="0"/>
                </c:manualLayout>
              </c:layout>
              <c:showLegendKey val="0"/>
              <c:showVal val="1"/>
              <c:showCatName val="0"/>
              <c:showSerName val="0"/>
              <c:showPercent val="0"/>
              <c:showBubbleSize val="0"/>
            </c:dLbl>
            <c:dLbl>
              <c:idx val="1"/>
              <c:layout>
                <c:manualLayout>
                  <c:x val="1.3888888888888888E-2"/>
                  <c:y val="0"/>
                </c:manualLayout>
              </c:layout>
              <c:showLegendKey val="0"/>
              <c:showVal val="1"/>
              <c:showCatName val="0"/>
              <c:showSerName val="0"/>
              <c:showPercent val="0"/>
              <c:showBubbleSize val="0"/>
            </c:dLbl>
            <c:dLbl>
              <c:idx val="2"/>
              <c:layout>
                <c:manualLayout>
                  <c:x val="8.3333333333333332E-3"/>
                  <c:y val="0"/>
                </c:manualLayout>
              </c:layout>
              <c:showLegendKey val="0"/>
              <c:showVal val="1"/>
              <c:showCatName val="0"/>
              <c:showSerName val="0"/>
              <c:showPercent val="0"/>
              <c:showBubbleSize val="0"/>
            </c:dLbl>
            <c:dLbl>
              <c:idx val="3"/>
              <c:layout>
                <c:manualLayout>
                  <c:x val="8.3333333333333332E-3"/>
                  <c:y val="0"/>
                </c:manualLayout>
              </c:layout>
              <c:showLegendKey val="0"/>
              <c:showVal val="1"/>
              <c:showCatName val="0"/>
              <c:showSerName val="0"/>
              <c:showPercent val="0"/>
              <c:showBubbleSize val="0"/>
            </c:dLbl>
            <c:dLbl>
              <c:idx val="4"/>
              <c:layout>
                <c:manualLayout>
                  <c:x val="1.3888888888888888E-2"/>
                  <c:y val="0"/>
                </c:manualLayout>
              </c:layout>
              <c:showLegendKey val="0"/>
              <c:showVal val="1"/>
              <c:showCatName val="0"/>
              <c:showSerName val="0"/>
              <c:showPercent val="0"/>
              <c:showBubbleSize val="0"/>
            </c:dLbl>
            <c:dLbl>
              <c:idx val="5"/>
              <c:layout>
                <c:manualLayout>
                  <c:x val="1.6666666666666767E-2"/>
                  <c:y val="0"/>
                </c:manualLayout>
              </c:layout>
              <c:showLegendKey val="0"/>
              <c:showVal val="1"/>
              <c:showCatName val="0"/>
              <c:showSerName val="0"/>
              <c:showPercent val="0"/>
              <c:showBubbleSize val="0"/>
            </c:dLbl>
            <c:txPr>
              <a:bodyPr/>
              <a:lstStyle/>
              <a:p>
                <a:pPr>
                  <a:defRPr sz="800" b="1"/>
                </a:pPr>
                <a:endParaRPr lang="el-GR"/>
              </a:p>
            </c:txPr>
            <c:showLegendKey val="0"/>
            <c:showVal val="1"/>
            <c:showCatName val="0"/>
            <c:showSerName val="0"/>
            <c:showPercent val="0"/>
            <c:showBubbleSize val="0"/>
            <c:showLeaderLines val="0"/>
          </c:dLbls>
          <c:cat>
            <c:numRef>
              <c:f>Φύλλο10!$A$2:$D$7</c:f>
              <c:numCache>
                <c:formatCode>mmm\-yy</c:formatCode>
                <c:ptCount val="6"/>
                <c:pt idx="0">
                  <c:v>42552</c:v>
                </c:pt>
                <c:pt idx="1">
                  <c:v>42583</c:v>
                </c:pt>
                <c:pt idx="2">
                  <c:v>42614</c:v>
                </c:pt>
                <c:pt idx="3">
                  <c:v>42644</c:v>
                </c:pt>
                <c:pt idx="4">
                  <c:v>42675</c:v>
                </c:pt>
                <c:pt idx="5">
                  <c:v>42705</c:v>
                </c:pt>
              </c:numCache>
            </c:numRef>
          </c:cat>
          <c:val>
            <c:numRef>
              <c:f>Φύλλο10!$E$2:$E$7</c:f>
              <c:numCache>
                <c:formatCode>#,##0.00</c:formatCode>
                <c:ptCount val="6"/>
                <c:pt idx="0">
                  <c:v>45.840044005490775</c:v>
                </c:pt>
                <c:pt idx="1">
                  <c:v>46.671826104512263</c:v>
                </c:pt>
                <c:pt idx="2">
                  <c:v>38.902766935553821</c:v>
                </c:pt>
                <c:pt idx="3">
                  <c:v>38.321633180020982</c:v>
                </c:pt>
                <c:pt idx="4">
                  <c:v>42.615878260317054</c:v>
                </c:pt>
                <c:pt idx="5">
                  <c:v>41.845219678217823</c:v>
                </c:pt>
              </c:numCache>
            </c:numRef>
          </c:val>
        </c:ser>
        <c:ser>
          <c:idx val="1"/>
          <c:order val="1"/>
          <c:tx>
            <c:strRef>
              <c:f>Φύλλο10!$F$1</c:f>
              <c:strCache>
                <c:ptCount val="1"/>
                <c:pt idx="0">
                  <c:v>ΕΛΑΣΤΙΚΕΣ</c:v>
                </c:pt>
              </c:strCache>
            </c:strRef>
          </c:tx>
          <c:invertIfNegative val="0"/>
          <c:dLbls>
            <c:dLbl>
              <c:idx val="0"/>
              <c:layout>
                <c:manualLayout>
                  <c:x val="1.6666666666666666E-2"/>
                  <c:y val="1.6597510373443983E-2"/>
                </c:manualLayout>
              </c:layout>
              <c:showLegendKey val="0"/>
              <c:showVal val="1"/>
              <c:showCatName val="0"/>
              <c:showSerName val="0"/>
              <c:showPercent val="0"/>
              <c:showBubbleSize val="0"/>
            </c:dLbl>
            <c:dLbl>
              <c:idx val="1"/>
              <c:layout>
                <c:manualLayout>
                  <c:x val="1.1111111111111112E-2"/>
                  <c:y val="0"/>
                </c:manualLayout>
              </c:layout>
              <c:showLegendKey val="0"/>
              <c:showVal val="1"/>
              <c:showCatName val="0"/>
              <c:showSerName val="0"/>
              <c:showPercent val="0"/>
              <c:showBubbleSize val="0"/>
            </c:dLbl>
            <c:dLbl>
              <c:idx val="2"/>
              <c:layout>
                <c:manualLayout>
                  <c:x val="1.6666666666666666E-2"/>
                  <c:y val="-1.6597510373443983E-2"/>
                </c:manualLayout>
              </c:layout>
              <c:showLegendKey val="0"/>
              <c:showVal val="1"/>
              <c:showCatName val="0"/>
              <c:showSerName val="0"/>
              <c:showPercent val="0"/>
              <c:showBubbleSize val="0"/>
            </c:dLbl>
            <c:dLbl>
              <c:idx val="3"/>
              <c:layout>
                <c:manualLayout>
                  <c:x val="1.3888888888888888E-2"/>
                  <c:y val="0"/>
                </c:manualLayout>
              </c:layout>
              <c:showLegendKey val="0"/>
              <c:showVal val="1"/>
              <c:showCatName val="0"/>
              <c:showSerName val="0"/>
              <c:showPercent val="0"/>
              <c:showBubbleSize val="0"/>
            </c:dLbl>
            <c:dLbl>
              <c:idx val="4"/>
              <c:layout>
                <c:manualLayout>
                  <c:x val="1.3888888888888888E-2"/>
                  <c:y val="1.6597510373443983E-2"/>
                </c:manualLayout>
              </c:layout>
              <c:showLegendKey val="0"/>
              <c:showVal val="1"/>
              <c:showCatName val="0"/>
              <c:showSerName val="0"/>
              <c:showPercent val="0"/>
              <c:showBubbleSize val="0"/>
            </c:dLbl>
            <c:dLbl>
              <c:idx val="5"/>
              <c:layout>
                <c:manualLayout>
                  <c:x val="1.1111111111111212E-2"/>
                  <c:y val="0"/>
                </c:manualLayout>
              </c:layout>
              <c:showLegendKey val="0"/>
              <c:showVal val="1"/>
              <c:showCatName val="0"/>
              <c:showSerName val="0"/>
              <c:showPercent val="0"/>
              <c:showBubbleSize val="0"/>
            </c:dLbl>
            <c:txPr>
              <a:bodyPr/>
              <a:lstStyle/>
              <a:p>
                <a:pPr>
                  <a:defRPr sz="800" b="1"/>
                </a:pPr>
                <a:endParaRPr lang="el-GR"/>
              </a:p>
            </c:txPr>
            <c:showLegendKey val="0"/>
            <c:showVal val="1"/>
            <c:showCatName val="0"/>
            <c:showSerName val="0"/>
            <c:showPercent val="0"/>
            <c:showBubbleSize val="0"/>
            <c:showLeaderLines val="0"/>
          </c:dLbls>
          <c:cat>
            <c:numRef>
              <c:f>Φύλλο10!$A$2:$D$7</c:f>
              <c:numCache>
                <c:formatCode>mmm\-yy</c:formatCode>
                <c:ptCount val="6"/>
                <c:pt idx="0">
                  <c:v>42552</c:v>
                </c:pt>
                <c:pt idx="1">
                  <c:v>42583</c:v>
                </c:pt>
                <c:pt idx="2">
                  <c:v>42614</c:v>
                </c:pt>
                <c:pt idx="3">
                  <c:v>42644</c:v>
                </c:pt>
                <c:pt idx="4">
                  <c:v>42675</c:v>
                </c:pt>
                <c:pt idx="5">
                  <c:v>42705</c:v>
                </c:pt>
              </c:numCache>
            </c:numRef>
          </c:cat>
          <c:val>
            <c:numRef>
              <c:f>Φύλλο10!$F$2:$F$7</c:f>
              <c:numCache>
                <c:formatCode>#,##0.00</c:formatCode>
                <c:ptCount val="6"/>
                <c:pt idx="0">
                  <c:v>54.159955994509225</c:v>
                </c:pt>
                <c:pt idx="1">
                  <c:v>53.328173895487737</c:v>
                </c:pt>
                <c:pt idx="2">
                  <c:v>61.097233064446179</c:v>
                </c:pt>
                <c:pt idx="3">
                  <c:v>61.678366819979018</c:v>
                </c:pt>
                <c:pt idx="4">
                  <c:v>57.384121739682946</c:v>
                </c:pt>
                <c:pt idx="5">
                  <c:v>58.154780321782177</c:v>
                </c:pt>
              </c:numCache>
            </c:numRef>
          </c:val>
        </c:ser>
        <c:dLbls>
          <c:showLegendKey val="0"/>
          <c:showVal val="1"/>
          <c:showCatName val="0"/>
          <c:showSerName val="0"/>
          <c:showPercent val="0"/>
          <c:showBubbleSize val="0"/>
        </c:dLbls>
        <c:gapWidth val="75"/>
        <c:shape val="cylinder"/>
        <c:axId val="112943104"/>
        <c:axId val="112944640"/>
        <c:axId val="0"/>
      </c:bar3DChart>
      <c:dateAx>
        <c:axId val="112943104"/>
        <c:scaling>
          <c:orientation val="minMax"/>
        </c:scaling>
        <c:delete val="0"/>
        <c:axPos val="b"/>
        <c:numFmt formatCode="mmm\-yy" sourceLinked="1"/>
        <c:majorTickMark val="none"/>
        <c:minorTickMark val="none"/>
        <c:tickLblPos val="nextTo"/>
        <c:crossAx val="112944640"/>
        <c:crosses val="autoZero"/>
        <c:auto val="1"/>
        <c:lblOffset val="100"/>
        <c:baseTimeUnit val="months"/>
      </c:dateAx>
      <c:valAx>
        <c:axId val="112944640"/>
        <c:scaling>
          <c:orientation val="minMax"/>
        </c:scaling>
        <c:delete val="0"/>
        <c:axPos val="l"/>
        <c:numFmt formatCode="#,##0.00" sourceLinked="1"/>
        <c:majorTickMark val="none"/>
        <c:minorTickMark val="none"/>
        <c:tickLblPos val="nextTo"/>
        <c:crossAx val="11294310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l-GR"/>
              <a:t>Λόγος απολύσεων/</a:t>
            </a:r>
            <a:r>
              <a:rPr lang="el-GR" baseline="0"/>
              <a:t> προσλήψεων</a:t>
            </a:r>
            <a:endParaRPr lang="el-GR"/>
          </a:p>
        </c:rich>
      </c:tx>
      <c:layout/>
      <c:overlay val="0"/>
    </c:title>
    <c:autoTitleDeleted val="0"/>
    <c:plotArea>
      <c:layout/>
      <c:lineChart>
        <c:grouping val="standard"/>
        <c:varyColors val="0"/>
        <c:ser>
          <c:idx val="0"/>
          <c:order val="0"/>
          <c:tx>
            <c:strRef>
              <c:f>Φύλλο7!$A$10</c:f>
              <c:strCache>
                <c:ptCount val="1"/>
                <c:pt idx="0">
                  <c:v>ΑΥΞΗΘΗΚΕ</c:v>
                </c:pt>
              </c:strCache>
            </c:strRef>
          </c:tx>
          <c:cat>
            <c:numRef>
              <c:f>Φύλλο7!$B$9:$P$9</c:f>
              <c:numCache>
                <c:formatCode>mmm\-yy</c:formatCode>
                <c:ptCount val="15"/>
                <c:pt idx="0">
                  <c:v>40210</c:v>
                </c:pt>
                <c:pt idx="1">
                  <c:v>40360</c:v>
                </c:pt>
                <c:pt idx="2">
                  <c:v>40575</c:v>
                </c:pt>
                <c:pt idx="3">
                  <c:v>40725</c:v>
                </c:pt>
                <c:pt idx="4">
                  <c:v>40940</c:v>
                </c:pt>
                <c:pt idx="5">
                  <c:v>41091</c:v>
                </c:pt>
                <c:pt idx="6">
                  <c:v>41306</c:v>
                </c:pt>
                <c:pt idx="7">
                  <c:v>41456</c:v>
                </c:pt>
                <c:pt idx="8">
                  <c:v>41671</c:v>
                </c:pt>
                <c:pt idx="9">
                  <c:v>41821</c:v>
                </c:pt>
                <c:pt idx="10">
                  <c:v>42036</c:v>
                </c:pt>
                <c:pt idx="11">
                  <c:v>42186</c:v>
                </c:pt>
                <c:pt idx="12">
                  <c:v>42401</c:v>
                </c:pt>
                <c:pt idx="13">
                  <c:v>42552</c:v>
                </c:pt>
                <c:pt idx="14">
                  <c:v>42767</c:v>
                </c:pt>
              </c:numCache>
            </c:numRef>
          </c:cat>
          <c:val>
            <c:numRef>
              <c:f>Φύλλο7!$B$10:$P$10</c:f>
            </c:numRef>
          </c:val>
          <c:smooth val="0"/>
        </c:ser>
        <c:ser>
          <c:idx val="1"/>
          <c:order val="1"/>
          <c:tx>
            <c:strRef>
              <c:f>Φύλλο7!$A$11</c:f>
              <c:strCache>
                <c:ptCount val="1"/>
                <c:pt idx="0">
                  <c:v>ΜΕΙΩΘΗΚΕ</c:v>
                </c:pt>
              </c:strCache>
            </c:strRef>
          </c:tx>
          <c:cat>
            <c:numRef>
              <c:f>Φύλλο7!$B$9:$P$9</c:f>
              <c:numCache>
                <c:formatCode>mmm\-yy</c:formatCode>
                <c:ptCount val="15"/>
                <c:pt idx="0">
                  <c:v>40210</c:v>
                </c:pt>
                <c:pt idx="1">
                  <c:v>40360</c:v>
                </c:pt>
                <c:pt idx="2">
                  <c:v>40575</c:v>
                </c:pt>
                <c:pt idx="3">
                  <c:v>40725</c:v>
                </c:pt>
                <c:pt idx="4">
                  <c:v>40940</c:v>
                </c:pt>
                <c:pt idx="5">
                  <c:v>41091</c:v>
                </c:pt>
                <c:pt idx="6">
                  <c:v>41306</c:v>
                </c:pt>
                <c:pt idx="7">
                  <c:v>41456</c:v>
                </c:pt>
                <c:pt idx="8">
                  <c:v>41671</c:v>
                </c:pt>
                <c:pt idx="9">
                  <c:v>41821</c:v>
                </c:pt>
                <c:pt idx="10">
                  <c:v>42036</c:v>
                </c:pt>
                <c:pt idx="11">
                  <c:v>42186</c:v>
                </c:pt>
                <c:pt idx="12">
                  <c:v>42401</c:v>
                </c:pt>
                <c:pt idx="13">
                  <c:v>42552</c:v>
                </c:pt>
                <c:pt idx="14">
                  <c:v>42767</c:v>
                </c:pt>
              </c:numCache>
            </c:numRef>
          </c:cat>
          <c:val>
            <c:numRef>
              <c:f>Φύλλο7!$B$11:$P$11</c:f>
            </c:numRef>
          </c:val>
          <c:smooth val="0"/>
        </c:ser>
        <c:ser>
          <c:idx val="2"/>
          <c:order val="2"/>
          <c:tx>
            <c:strRef>
              <c:f>'Φύλλο7 (2)'!$A$12</c:f>
              <c:strCache>
                <c:ptCount val="1"/>
                <c:pt idx="0">
                  <c:v>Λόγος 1 πρόσληψης / απολύσεις</c:v>
                </c:pt>
              </c:strCache>
            </c:strRef>
          </c:tx>
          <c:marker>
            <c:symbol val="none"/>
          </c:marker>
          <c:cat>
            <c:numRef>
              <c:f>'Φύλλο7 (2)'!$B$9:$P$9</c:f>
              <c:numCache>
                <c:formatCode>mmm\-yy</c:formatCode>
                <c:ptCount val="15"/>
                <c:pt idx="0">
                  <c:v>40210</c:v>
                </c:pt>
                <c:pt idx="1">
                  <c:v>40360</c:v>
                </c:pt>
                <c:pt idx="2">
                  <c:v>40575</c:v>
                </c:pt>
                <c:pt idx="3">
                  <c:v>40725</c:v>
                </c:pt>
                <c:pt idx="4">
                  <c:v>40940</c:v>
                </c:pt>
                <c:pt idx="5">
                  <c:v>41091</c:v>
                </c:pt>
                <c:pt idx="6">
                  <c:v>41306</c:v>
                </c:pt>
                <c:pt idx="7">
                  <c:v>41456</c:v>
                </c:pt>
                <c:pt idx="8">
                  <c:v>41671</c:v>
                </c:pt>
                <c:pt idx="9">
                  <c:v>41821</c:v>
                </c:pt>
                <c:pt idx="10">
                  <c:v>42036</c:v>
                </c:pt>
                <c:pt idx="11">
                  <c:v>42186</c:v>
                </c:pt>
                <c:pt idx="12">
                  <c:v>42401</c:v>
                </c:pt>
                <c:pt idx="13">
                  <c:v>42552</c:v>
                </c:pt>
                <c:pt idx="14">
                  <c:v>42767</c:v>
                </c:pt>
              </c:numCache>
            </c:numRef>
          </c:cat>
          <c:val>
            <c:numRef>
              <c:f>'Φύλλο7 (2)'!$B$12:$P$12</c:f>
              <c:numCache>
                <c:formatCode>#,##0.00</c:formatCode>
                <c:ptCount val="15"/>
                <c:pt idx="0">
                  <c:v>9.5909090909090899</c:v>
                </c:pt>
                <c:pt idx="1">
                  <c:v>6.083333333333333</c:v>
                </c:pt>
                <c:pt idx="2">
                  <c:v>6.8857142857142861</c:v>
                </c:pt>
                <c:pt idx="3">
                  <c:v>6.5806451612903221</c:v>
                </c:pt>
                <c:pt idx="4">
                  <c:v>6.0909090909090917</c:v>
                </c:pt>
                <c:pt idx="5">
                  <c:v>5.8437499999999991</c:v>
                </c:pt>
                <c:pt idx="6">
                  <c:v>5.3548387096774199</c:v>
                </c:pt>
                <c:pt idx="7">
                  <c:v>3.0750000000000002</c:v>
                </c:pt>
                <c:pt idx="8">
                  <c:v>2.4074074074074074</c:v>
                </c:pt>
                <c:pt idx="9">
                  <c:v>1.5636363636363635</c:v>
                </c:pt>
                <c:pt idx="10">
                  <c:v>1.846153846153846</c:v>
                </c:pt>
                <c:pt idx="11">
                  <c:v>2.291666666666667</c:v>
                </c:pt>
                <c:pt idx="12">
                  <c:v>2.7837837837837838</c:v>
                </c:pt>
                <c:pt idx="13">
                  <c:v>1.2222222222222221</c:v>
                </c:pt>
                <c:pt idx="14">
                  <c:v>2</c:v>
                </c:pt>
              </c:numCache>
            </c:numRef>
          </c:val>
          <c:smooth val="0"/>
        </c:ser>
        <c:dLbls>
          <c:showLegendKey val="0"/>
          <c:showVal val="0"/>
          <c:showCatName val="0"/>
          <c:showSerName val="0"/>
          <c:showPercent val="0"/>
          <c:showBubbleSize val="0"/>
        </c:dLbls>
        <c:marker val="1"/>
        <c:smooth val="0"/>
        <c:axId val="112663168"/>
        <c:axId val="112664960"/>
      </c:lineChart>
      <c:dateAx>
        <c:axId val="112663168"/>
        <c:scaling>
          <c:orientation val="minMax"/>
        </c:scaling>
        <c:delete val="1"/>
        <c:axPos val="b"/>
        <c:numFmt formatCode="mmm\-yy" sourceLinked="1"/>
        <c:majorTickMark val="none"/>
        <c:minorTickMark val="none"/>
        <c:tickLblPos val="nextTo"/>
        <c:crossAx val="112664960"/>
        <c:crosses val="autoZero"/>
        <c:auto val="1"/>
        <c:lblOffset val="100"/>
        <c:baseTimeUnit val="months"/>
      </c:dateAx>
      <c:valAx>
        <c:axId val="112664960"/>
        <c:scaling>
          <c:orientation val="minMax"/>
        </c:scaling>
        <c:delete val="0"/>
        <c:axPos val="l"/>
        <c:majorGridlines/>
        <c:numFmt formatCode="#,##0.00" sourceLinked="1"/>
        <c:majorTickMark val="none"/>
        <c:minorTickMark val="none"/>
        <c:tickLblPos val="nextTo"/>
        <c:crossAx val="112663168"/>
        <c:crosses val="autoZero"/>
        <c:crossBetween val="between"/>
      </c:valAx>
      <c:dTable>
        <c:showHorzBorder val="1"/>
        <c:showVertBorder val="1"/>
        <c:showOutline val="1"/>
        <c:showKeys val="0"/>
        <c:txPr>
          <a:bodyPr/>
          <a:lstStyle/>
          <a:p>
            <a:pPr rtl="0">
              <a:defRPr sz="780" baseline="0"/>
            </a:pPr>
            <a:endParaRPr lang="el-GR"/>
          </a:p>
        </c:txPr>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09043877330833"/>
          <c:y val="0.22514158444834484"/>
          <c:w val="0.47407880586855755"/>
          <c:h val="0.77485841555165735"/>
        </c:manualLayout>
      </c:layout>
      <c:doughnutChart>
        <c:varyColors val="1"/>
        <c:ser>
          <c:idx val="0"/>
          <c:order val="0"/>
          <c:tx>
            <c:strRef>
              <c:f>Φύλλο1!$B$1</c:f>
              <c:strCache>
                <c:ptCount val="1"/>
                <c:pt idx="0">
                  <c:v>Πωλήσεις</c:v>
                </c:pt>
              </c:strCache>
            </c:strRef>
          </c:tx>
          <c:spPr>
            <a:ln>
              <a:solidFill>
                <a:schemeClr val="bg1"/>
              </a:solidFill>
            </a:ln>
          </c:spPr>
          <c:dPt>
            <c:idx val="0"/>
            <c:bubble3D val="0"/>
            <c:spPr>
              <a:solidFill>
                <a:schemeClr val="accent3">
                  <a:lumMod val="50000"/>
                </a:schemeClr>
              </a:solidFill>
              <a:ln>
                <a:solidFill>
                  <a:schemeClr val="bg1"/>
                </a:solidFill>
              </a:ln>
            </c:spPr>
          </c:dPt>
          <c:dPt>
            <c:idx val="1"/>
            <c:bubble3D val="0"/>
            <c:spPr>
              <a:solidFill>
                <a:schemeClr val="accent2">
                  <a:lumMod val="75000"/>
                </a:schemeClr>
              </a:solidFill>
              <a:ln>
                <a:solidFill>
                  <a:schemeClr val="bg1"/>
                </a:solidFill>
              </a:ln>
            </c:spPr>
          </c:dPt>
          <c:dPt>
            <c:idx val="2"/>
            <c:bubble3D val="0"/>
            <c:spPr>
              <a:solidFill>
                <a:schemeClr val="accent1">
                  <a:lumMod val="75000"/>
                </a:schemeClr>
              </a:solidFill>
              <a:ln>
                <a:solidFill>
                  <a:schemeClr val="bg1"/>
                </a:solidFill>
              </a:ln>
            </c:spPr>
          </c:dPt>
          <c:dPt>
            <c:idx val="3"/>
            <c:bubble3D val="0"/>
            <c:spPr>
              <a:solidFill>
                <a:schemeClr val="tx1">
                  <a:lumMod val="50000"/>
                  <a:lumOff val="50000"/>
                </a:schemeClr>
              </a:solidFill>
              <a:ln>
                <a:solidFill>
                  <a:schemeClr val="bg1"/>
                </a:solidFill>
              </a:ln>
            </c:spPr>
          </c:dPt>
          <c:dLbls>
            <c:dLbl>
              <c:idx val="0"/>
              <c:layout>
                <c:manualLayout>
                  <c:x val="3.4359441142280615E-2"/>
                  <c:y val="-0.11095174751657405"/>
                </c:manualLayout>
              </c:layout>
              <c:showLegendKey val="0"/>
              <c:showVal val="1"/>
              <c:showCatName val="1"/>
              <c:showSerName val="0"/>
              <c:showPercent val="0"/>
              <c:showBubbleSize val="0"/>
              <c:separator>
</c:separator>
            </c:dLbl>
            <c:dLbl>
              <c:idx val="1"/>
              <c:layout>
                <c:manualLayout>
                  <c:x val="7.2939559435293427E-2"/>
                  <c:y val="-6.8569375013409428E-2"/>
                </c:manualLayout>
              </c:layout>
              <c:showLegendKey val="0"/>
              <c:showVal val="1"/>
              <c:showCatName val="1"/>
              <c:showSerName val="0"/>
              <c:showPercent val="0"/>
              <c:showBubbleSize val="0"/>
              <c:separator>
</c:separator>
            </c:dLbl>
            <c:dLbl>
              <c:idx val="2"/>
              <c:layout>
                <c:manualLayout>
                  <c:x val="-0.2502162201041716"/>
                  <c:y val="-0.1588735035560537"/>
                </c:manualLayout>
              </c:layout>
              <c:showLegendKey val="0"/>
              <c:showVal val="1"/>
              <c:showCatName val="1"/>
              <c:showSerName val="0"/>
              <c:showPercent val="0"/>
              <c:showBubbleSize val="0"/>
              <c:separator>
</c:separator>
            </c:dLbl>
            <c:dLbl>
              <c:idx val="3"/>
              <c:layout>
                <c:manualLayout>
                  <c:x val="-3.3179435439650823E-2"/>
                  <c:y val="-9.3837742353050549E-2"/>
                </c:manualLayout>
              </c:layout>
              <c:showLegendKey val="0"/>
              <c:showVal val="1"/>
              <c:showCatName val="1"/>
              <c:showSerName val="0"/>
              <c:showPercent val="0"/>
              <c:showBubbleSize val="0"/>
              <c:separator>
</c:separator>
            </c:dLbl>
            <c:txPr>
              <a:bodyPr/>
              <a:lstStyle/>
              <a:p>
                <a:pPr>
                  <a:defRPr sz="800" b="1">
                    <a:latin typeface="Calibri" panose="020F0502020204030204" pitchFamily="34" charset="0"/>
                  </a:defRPr>
                </a:pPr>
                <a:endParaRPr lang="el-GR"/>
              </a:p>
            </c:txPr>
            <c:showLegendKey val="0"/>
            <c:showVal val="1"/>
            <c:showCatName val="1"/>
            <c:showSerName val="0"/>
            <c:showPercent val="0"/>
            <c:showBubbleSize val="0"/>
            <c:separator>
</c:separator>
            <c:showLeaderLines val="1"/>
          </c:dLbls>
          <c:cat>
            <c:strRef>
              <c:f>Φύλλο1!$A$2:$A$5</c:f>
              <c:strCache>
                <c:ptCount val="4"/>
                <c:pt idx="0">
                  <c:v>Αυξήθηκε</c:v>
                </c:pt>
                <c:pt idx="1">
                  <c:v>Μειώθηκε</c:v>
                </c:pt>
                <c:pt idx="2">
                  <c:v>Σταθερό</c:v>
                </c:pt>
                <c:pt idx="3">
                  <c:v>ΔΑ</c:v>
                </c:pt>
              </c:strCache>
            </c:strRef>
          </c:cat>
          <c:val>
            <c:numRef>
              <c:f>Φύλλο1!$B$2:$B$5</c:f>
              <c:numCache>
                <c:formatCode>General</c:formatCode>
                <c:ptCount val="4"/>
                <c:pt idx="0">
                  <c:v>4.5999999999999996</c:v>
                </c:pt>
                <c:pt idx="1">
                  <c:v>9.2000000000000011</c:v>
                </c:pt>
                <c:pt idx="2">
                  <c:v>83.3</c:v>
                </c:pt>
                <c:pt idx="3">
                  <c:v>2.9</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txPr>
    <a:bodyPr/>
    <a:lstStyle/>
    <a:p>
      <a:pPr>
        <a:defRPr sz="1800"/>
      </a:pPr>
      <a:endParaRPr lang="el-G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900"/>
          </a:pPr>
          <a:endParaRPr lang="el-GR"/>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33875415099499573"/>
          <c:y val="0.19480351414406533"/>
          <c:w val="0.64861616925759791"/>
          <c:h val="0.54135425780110824"/>
        </c:manualLayout>
      </c:layout>
      <c:bar3DChart>
        <c:barDir val="col"/>
        <c:grouping val="stacked"/>
        <c:varyColors val="0"/>
        <c:ser>
          <c:idx val="0"/>
          <c:order val="0"/>
          <c:tx>
            <c:strRef>
              <c:f>'1 (4)'!$P$32</c:f>
              <c:strCache>
                <c:ptCount val="1"/>
                <c:pt idx="0">
                  <c:v>Ισοζυγιο Προσλήψεων / Αποχωρήσεων-Απολυσεων</c:v>
                </c:pt>
              </c:strCache>
            </c:strRef>
          </c:tx>
          <c:spPr>
            <a:solidFill>
              <a:srgbClr val="9BBB59"/>
            </a:solidFill>
          </c:spPr>
          <c:invertIfNegative val="1"/>
          <c:cat>
            <c:numRef>
              <c:f>'1 (4)'!$O$33:$O$38</c:f>
              <c:numCache>
                <c:formatCode>mmm\-yy</c:formatCode>
                <c:ptCount val="6"/>
                <c:pt idx="0">
                  <c:v>42552</c:v>
                </c:pt>
                <c:pt idx="1">
                  <c:v>42583</c:v>
                </c:pt>
                <c:pt idx="2">
                  <c:v>42614</c:v>
                </c:pt>
                <c:pt idx="3">
                  <c:v>42644</c:v>
                </c:pt>
                <c:pt idx="4">
                  <c:v>42675</c:v>
                </c:pt>
                <c:pt idx="5">
                  <c:v>42705</c:v>
                </c:pt>
              </c:numCache>
            </c:numRef>
          </c:cat>
          <c:val>
            <c:numRef>
              <c:f>'1 (4)'!$P$33:$P$38</c:f>
              <c:numCache>
                <c:formatCode>#,##0</c:formatCode>
                <c:ptCount val="6"/>
                <c:pt idx="0">
                  <c:v>19281</c:v>
                </c:pt>
                <c:pt idx="1">
                  <c:v>-16128</c:v>
                </c:pt>
                <c:pt idx="2">
                  <c:v>7788</c:v>
                </c:pt>
                <c:pt idx="3">
                  <c:v>-82810</c:v>
                </c:pt>
                <c:pt idx="4">
                  <c:v>-37667</c:v>
                </c:pt>
                <c:pt idx="5">
                  <c:v>11132</c:v>
                </c:pt>
              </c:numCache>
            </c:numRef>
          </c:val>
          <c:extLst>
            <c:ext xmlns:c14="http://schemas.microsoft.com/office/drawing/2007/8/2/chart" uri="{6F2FDCE9-48DA-4B69-8628-5D25D57E5C99}">
              <c14:invertSolidFillFmt>
                <c14:spPr xmlns:c14="http://schemas.microsoft.com/office/drawing/2007/8/2/chart">
                  <a:solidFill>
                    <a:srgbClr val="C0504D"/>
                  </a:solidFill>
                </c14:spPr>
              </c14:invertSolidFillFmt>
            </c:ext>
          </c:extLst>
        </c:ser>
        <c:dLbls>
          <c:showLegendKey val="0"/>
          <c:showVal val="0"/>
          <c:showCatName val="0"/>
          <c:showSerName val="0"/>
          <c:showPercent val="0"/>
          <c:showBubbleSize val="0"/>
        </c:dLbls>
        <c:gapWidth val="95"/>
        <c:gapDepth val="95"/>
        <c:shape val="cylinder"/>
        <c:axId val="113313280"/>
        <c:axId val="113314816"/>
        <c:axId val="0"/>
      </c:bar3DChart>
      <c:dateAx>
        <c:axId val="113313280"/>
        <c:scaling>
          <c:orientation val="minMax"/>
        </c:scaling>
        <c:delete val="0"/>
        <c:axPos val="b"/>
        <c:numFmt formatCode="mmm\-yy" sourceLinked="1"/>
        <c:majorTickMark val="none"/>
        <c:minorTickMark val="none"/>
        <c:tickLblPos val="nextTo"/>
        <c:txPr>
          <a:bodyPr/>
          <a:lstStyle/>
          <a:p>
            <a:pPr>
              <a:defRPr sz="700"/>
            </a:pPr>
            <a:endParaRPr lang="el-GR"/>
          </a:p>
        </c:txPr>
        <c:crossAx val="113314816"/>
        <c:crosses val="autoZero"/>
        <c:auto val="1"/>
        <c:lblOffset val="100"/>
        <c:baseTimeUnit val="months"/>
      </c:dateAx>
      <c:valAx>
        <c:axId val="113314816"/>
        <c:scaling>
          <c:orientation val="minMax"/>
        </c:scaling>
        <c:delete val="0"/>
        <c:axPos val="l"/>
        <c:majorGridlines/>
        <c:numFmt formatCode="#,##0" sourceLinked="1"/>
        <c:majorTickMark val="none"/>
        <c:minorTickMark val="none"/>
        <c:tickLblPos val="nextTo"/>
        <c:crossAx val="113313280"/>
        <c:crosses val="autoZero"/>
        <c:crossBetween val="between"/>
      </c:valAx>
      <c:dTable>
        <c:showHorzBorder val="1"/>
        <c:showVertBorder val="1"/>
        <c:showOutline val="1"/>
        <c:showKeys val="1"/>
        <c:txPr>
          <a:bodyPr/>
          <a:lstStyle/>
          <a:p>
            <a:pPr rtl="0">
              <a:defRPr sz="800"/>
            </a:pPr>
            <a:endParaRPr lang="el-GR"/>
          </a:p>
        </c:txPr>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25000000000001"/>
          <c:y val="0.14687500000000001"/>
          <c:w val="0.53749999999999998"/>
          <c:h val="0.80625000000000002"/>
        </c:manualLayout>
      </c:layout>
      <c:doughnutChart>
        <c:varyColors val="1"/>
        <c:ser>
          <c:idx val="0"/>
          <c:order val="0"/>
          <c:tx>
            <c:strRef>
              <c:f>Φύλλο1!$B$1</c:f>
              <c:strCache>
                <c:ptCount val="1"/>
                <c:pt idx="0">
                  <c:v>Πωλήσεις</c:v>
                </c:pt>
              </c:strCache>
            </c:strRef>
          </c:tx>
          <c:spPr>
            <a:ln>
              <a:solidFill>
                <a:schemeClr val="bg1"/>
              </a:solidFill>
            </a:ln>
          </c:spPr>
          <c:dPt>
            <c:idx val="0"/>
            <c:bubble3D val="0"/>
            <c:spPr>
              <a:solidFill>
                <a:schemeClr val="accent2">
                  <a:lumMod val="75000"/>
                </a:schemeClr>
              </a:solidFill>
              <a:ln>
                <a:solidFill>
                  <a:schemeClr val="bg1"/>
                </a:solidFill>
              </a:ln>
            </c:spPr>
          </c:dPt>
          <c:dPt>
            <c:idx val="1"/>
            <c:bubble3D val="0"/>
            <c:spPr>
              <a:solidFill>
                <a:schemeClr val="accent3">
                  <a:lumMod val="50000"/>
                </a:schemeClr>
              </a:solidFill>
              <a:ln>
                <a:solidFill>
                  <a:schemeClr val="bg1"/>
                </a:solidFill>
              </a:ln>
            </c:spPr>
          </c:dPt>
          <c:dPt>
            <c:idx val="2"/>
            <c:bubble3D val="0"/>
            <c:spPr>
              <a:solidFill>
                <a:schemeClr val="bg1">
                  <a:lumMod val="50000"/>
                </a:schemeClr>
              </a:solidFill>
              <a:ln>
                <a:solidFill>
                  <a:schemeClr val="bg1"/>
                </a:solidFill>
              </a:ln>
            </c:spPr>
          </c:dPt>
          <c:dLbls>
            <c:dLbl>
              <c:idx val="0"/>
              <c:layout>
                <c:manualLayout>
                  <c:x val="5.6249999999999946E-2"/>
                  <c:y val="-0.15000000000000024"/>
                </c:manualLayout>
              </c:layout>
              <c:showLegendKey val="0"/>
              <c:showVal val="1"/>
              <c:showCatName val="1"/>
              <c:showSerName val="0"/>
              <c:showPercent val="0"/>
              <c:showBubbleSize val="0"/>
              <c:separator>
</c:separator>
            </c:dLbl>
            <c:dLbl>
              <c:idx val="1"/>
              <c:layout>
                <c:manualLayout>
                  <c:x val="-0.24583333333333374"/>
                  <c:y val="-0.59687500000000004"/>
                </c:manualLayout>
              </c:layout>
              <c:showLegendKey val="0"/>
              <c:showVal val="1"/>
              <c:showCatName val="1"/>
              <c:showSerName val="0"/>
              <c:showPercent val="0"/>
              <c:showBubbleSize val="0"/>
              <c:separator>
</c:separator>
            </c:dLbl>
            <c:dLbl>
              <c:idx val="2"/>
              <c:layout>
                <c:manualLayout>
                  <c:x val="-1.0416666666666666E-2"/>
                  <c:y val="-0.15625000000000036"/>
                </c:manualLayout>
              </c:layout>
              <c:showLegendKey val="0"/>
              <c:showVal val="1"/>
              <c:showCatName val="1"/>
              <c:showSerName val="0"/>
              <c:showPercent val="0"/>
              <c:showBubbleSize val="0"/>
              <c:separator>
</c:separator>
            </c:dLbl>
            <c:dLbl>
              <c:idx val="3"/>
              <c:layout>
                <c:manualLayout>
                  <c:x val="-9.1666666666667299E-2"/>
                  <c:y val="-0.14375000000000004"/>
                </c:manualLayout>
              </c:layout>
              <c:showLegendKey val="0"/>
              <c:showVal val="1"/>
              <c:showCatName val="1"/>
              <c:showSerName val="0"/>
              <c:showPercent val="0"/>
              <c:showBubbleSize val="0"/>
              <c:separator>
</c:separator>
            </c:dLbl>
            <c:txPr>
              <a:bodyPr/>
              <a:lstStyle/>
              <a:p>
                <a:pPr>
                  <a:defRPr sz="900">
                    <a:latin typeface="Calibri" panose="020F0502020204030204" pitchFamily="34" charset="0"/>
                  </a:defRPr>
                </a:pPr>
                <a:endParaRPr lang="el-GR"/>
              </a:p>
            </c:txPr>
            <c:showLegendKey val="0"/>
            <c:showVal val="1"/>
            <c:showCatName val="1"/>
            <c:showSerName val="0"/>
            <c:showPercent val="0"/>
            <c:showBubbleSize val="0"/>
            <c:separator>
</c:separator>
            <c:showLeaderLines val="1"/>
          </c:dLbls>
          <c:cat>
            <c:strRef>
              <c:f>Φύλλο1!$A$2:$A$4</c:f>
              <c:strCache>
                <c:ptCount val="3"/>
                <c:pt idx="0">
                  <c:v>Ναι</c:v>
                </c:pt>
                <c:pt idx="1">
                  <c:v>Όχι</c:v>
                </c:pt>
                <c:pt idx="2">
                  <c:v>ΔΑ</c:v>
                </c:pt>
              </c:strCache>
            </c:strRef>
          </c:cat>
          <c:val>
            <c:numRef>
              <c:f>Φύλλο1!$B$2:$B$4</c:f>
              <c:numCache>
                <c:formatCode>0.0</c:formatCode>
                <c:ptCount val="3"/>
                <c:pt idx="0">
                  <c:v>9.5522388059701502</c:v>
                </c:pt>
                <c:pt idx="1">
                  <c:v>89.751243781094558</c:v>
                </c:pt>
                <c:pt idx="2">
                  <c:v>0.69651741293532343</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txPr>
    <a:bodyPr/>
    <a:lstStyle/>
    <a:p>
      <a:pPr>
        <a:defRPr sz="1800"/>
      </a:pPr>
      <a:endParaRPr lang="el-GR"/>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Φύλλο1!$B$1</c:f>
              <c:strCache>
                <c:ptCount val="1"/>
                <c:pt idx="0">
                  <c:v>Πωλήσεις</c:v>
                </c:pt>
              </c:strCache>
            </c:strRef>
          </c:tx>
          <c:spPr>
            <a:ln>
              <a:solidFill>
                <a:schemeClr val="bg1"/>
              </a:solidFill>
            </a:ln>
          </c:spPr>
          <c:dPt>
            <c:idx val="0"/>
            <c:bubble3D val="0"/>
            <c:spPr>
              <a:solidFill>
                <a:schemeClr val="accent3">
                  <a:lumMod val="50000"/>
                </a:schemeClr>
              </a:solidFill>
              <a:ln>
                <a:solidFill>
                  <a:schemeClr val="bg1"/>
                </a:solidFill>
              </a:ln>
            </c:spPr>
          </c:dPt>
          <c:dPt>
            <c:idx val="1"/>
            <c:bubble3D val="0"/>
            <c:spPr>
              <a:solidFill>
                <a:schemeClr val="accent2">
                  <a:lumMod val="75000"/>
                </a:schemeClr>
              </a:solidFill>
              <a:ln>
                <a:solidFill>
                  <a:schemeClr val="bg1"/>
                </a:solidFill>
              </a:ln>
            </c:spPr>
          </c:dPt>
          <c:dPt>
            <c:idx val="2"/>
            <c:bubble3D val="0"/>
            <c:spPr>
              <a:solidFill>
                <a:schemeClr val="tx1">
                  <a:lumMod val="50000"/>
                  <a:lumOff val="50000"/>
                </a:schemeClr>
              </a:solidFill>
              <a:ln>
                <a:solidFill>
                  <a:schemeClr val="bg1"/>
                </a:solidFill>
              </a:ln>
            </c:spPr>
          </c:dPt>
          <c:dLbls>
            <c:dLbl>
              <c:idx val="0"/>
              <c:layout>
                <c:manualLayout>
                  <c:x val="5.8333169291338582E-2"/>
                  <c:y val="-0.33750000000000013"/>
                </c:manualLayout>
              </c:layout>
              <c:showLegendKey val="0"/>
              <c:showVal val="1"/>
              <c:showCatName val="1"/>
              <c:showSerName val="0"/>
              <c:showPercent val="0"/>
              <c:showBubbleSize val="0"/>
              <c:separator>
</c:separator>
            </c:dLbl>
            <c:dLbl>
              <c:idx val="1"/>
              <c:layout>
                <c:manualLayout>
                  <c:x val="-0.12708333333333341"/>
                  <c:y val="1.8749999999999999E-2"/>
                </c:manualLayout>
              </c:layout>
              <c:showLegendKey val="0"/>
              <c:showVal val="1"/>
              <c:showCatName val="1"/>
              <c:showSerName val="0"/>
              <c:showPercent val="0"/>
              <c:showBubbleSize val="0"/>
              <c:separator>
</c:separator>
            </c:dLbl>
            <c:dLbl>
              <c:idx val="2"/>
              <c:layout>
                <c:manualLayout>
                  <c:x val="-8.3333333333333343E-2"/>
                  <c:y val="-0.125"/>
                </c:manualLayout>
              </c:layout>
              <c:showLegendKey val="0"/>
              <c:showVal val="1"/>
              <c:showCatName val="1"/>
              <c:showSerName val="0"/>
              <c:showPercent val="0"/>
              <c:showBubbleSize val="0"/>
              <c:separator>
</c:separator>
            </c:dLbl>
            <c:dLbl>
              <c:idx val="3"/>
              <c:layout>
                <c:manualLayout>
                  <c:x val="-9.1666666666667257E-2"/>
                  <c:y val="-0.14375000000000004"/>
                </c:manualLayout>
              </c:layout>
              <c:showLegendKey val="0"/>
              <c:showVal val="1"/>
              <c:showCatName val="1"/>
              <c:showSerName val="0"/>
              <c:showPercent val="0"/>
              <c:showBubbleSize val="0"/>
              <c:separator>
</c:separator>
            </c:dLbl>
            <c:txPr>
              <a:bodyPr/>
              <a:lstStyle/>
              <a:p>
                <a:pPr>
                  <a:defRPr sz="900">
                    <a:latin typeface="Calibri" panose="020F0502020204030204" pitchFamily="34" charset="0"/>
                  </a:defRPr>
                </a:pPr>
                <a:endParaRPr lang="el-GR"/>
              </a:p>
            </c:txPr>
            <c:showLegendKey val="0"/>
            <c:showVal val="1"/>
            <c:showCatName val="1"/>
            <c:showSerName val="0"/>
            <c:showPercent val="0"/>
            <c:showBubbleSize val="0"/>
            <c:separator>
</c:separator>
            <c:showLeaderLines val="1"/>
          </c:dLbls>
          <c:cat>
            <c:strRef>
              <c:f>Φύλλο1!$A$2:$A$4</c:f>
              <c:strCache>
                <c:ptCount val="3"/>
                <c:pt idx="0">
                  <c:v>Ναι</c:v>
                </c:pt>
                <c:pt idx="1">
                  <c:v>Όχι</c:v>
                </c:pt>
                <c:pt idx="2">
                  <c:v>ΔΑ</c:v>
                </c:pt>
              </c:strCache>
            </c:strRef>
          </c:cat>
          <c:val>
            <c:numRef>
              <c:f>Φύλλο1!$B$2:$B$4</c:f>
              <c:numCache>
                <c:formatCode>0.0</c:formatCode>
                <c:ptCount val="3"/>
                <c:pt idx="0">
                  <c:v>51.439920556107246</c:v>
                </c:pt>
                <c:pt idx="1">
                  <c:v>33.167825223435962</c:v>
                </c:pt>
                <c:pt idx="2">
                  <c:v>15.392254220456802</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txPr>
    <a:bodyPr/>
    <a:lstStyle/>
    <a:p>
      <a:pPr>
        <a:defRPr sz="1800"/>
      </a:pPr>
      <a:endParaRPr lang="el-G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0"/>
    </c:view3D>
    <c:floor>
      <c:thickness val="0"/>
    </c:floor>
    <c:sideWall>
      <c:thickness val="0"/>
    </c:sideWall>
    <c:backWall>
      <c:thickness val="0"/>
    </c:backWall>
    <c:plotArea>
      <c:layout>
        <c:manualLayout>
          <c:layoutTarget val="inner"/>
          <c:xMode val="edge"/>
          <c:yMode val="edge"/>
          <c:x val="1.7218543046357615E-2"/>
          <c:y val="4.8441944756905379E-2"/>
          <c:w val="0.97333048234592179"/>
          <c:h val="0.76058285242166668"/>
        </c:manualLayout>
      </c:layout>
      <c:bar3DChart>
        <c:barDir val="col"/>
        <c:grouping val="standard"/>
        <c:varyColors val="0"/>
        <c:ser>
          <c:idx val="0"/>
          <c:order val="0"/>
          <c:tx>
            <c:strRef>
              <c:f>Sheet1!$A$2</c:f>
              <c:strCache>
                <c:ptCount val="1"/>
                <c:pt idx="0">
                  <c:v>Φεβρουάριος 2017</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7.8640569372990278E-3"/>
                  <c:y val="-2.9212601406023851E-2"/>
                </c:manualLayout>
              </c:layout>
              <c:showLegendKey val="0"/>
              <c:showVal val="1"/>
              <c:showCatName val="0"/>
              <c:showSerName val="0"/>
              <c:showPercent val="0"/>
              <c:showBubbleSize val="0"/>
            </c:dLbl>
            <c:dLbl>
              <c:idx val="1"/>
              <c:layout>
                <c:manualLayout>
                  <c:x val="1.8185880362170174E-2"/>
                  <c:y val="-6.9148637483053771E-3"/>
                </c:manualLayout>
              </c:layout>
              <c:showLegendKey val="0"/>
              <c:showVal val="1"/>
              <c:showCatName val="0"/>
              <c:showSerName val="0"/>
              <c:showPercent val="0"/>
              <c:showBubbleSize val="0"/>
            </c:dLbl>
            <c:dLbl>
              <c:idx val="2"/>
              <c:layout>
                <c:manualLayout>
                  <c:x val="1.9463765666106005E-2"/>
                  <c:y val="-9.8301715466890451E-3"/>
                </c:manualLayout>
              </c:layout>
              <c:showLegendKey val="0"/>
              <c:showVal val="1"/>
              <c:showCatName val="0"/>
              <c:showSerName val="0"/>
              <c:showPercent val="0"/>
              <c:showBubbleSize val="0"/>
            </c:dLbl>
            <c:dLbl>
              <c:idx val="3"/>
              <c:layout>
                <c:manualLayout>
                  <c:x val="6.9594715382034064E-3"/>
                  <c:y val="-9.1713420016255962E-3"/>
                </c:manualLayout>
              </c:layout>
              <c:showLegendKey val="0"/>
              <c:showVal val="1"/>
              <c:showCatName val="0"/>
              <c:showSerName val="0"/>
              <c:showPercent val="0"/>
              <c:showBubbleSize val="0"/>
            </c:dLbl>
            <c:dLbl>
              <c:idx val="4"/>
              <c:layout>
                <c:manualLayout>
                  <c:x val="9.3600566743827097E-3"/>
                  <c:y val="-7.6756488474752074E-3"/>
                </c:manualLayout>
              </c:layout>
              <c:showLegendKey val="0"/>
              <c:showVal val="1"/>
              <c:showCatName val="0"/>
              <c:showSerName val="0"/>
              <c:showPercent val="0"/>
              <c:showBubbleSize val="0"/>
            </c:dLbl>
            <c:dLbl>
              <c:idx val="5"/>
              <c:layout>
                <c:manualLayout>
                  <c:x val="9.3582881789788085E-3"/>
                  <c:y val="-1.5808803836220048E-2"/>
                </c:manualLayout>
              </c:layout>
              <c:showLegendKey val="0"/>
              <c:showVal val="1"/>
              <c:showCatName val="0"/>
              <c:showSerName val="0"/>
              <c:showPercent val="0"/>
              <c:showBubbleSize val="0"/>
            </c:dLbl>
            <c:dLbl>
              <c:idx val="6"/>
              <c:layout>
                <c:manualLayout>
                  <c:x val="1.1222871833158964E-2"/>
                  <c:y val="-6.1261314414108783E-3"/>
                </c:manualLayout>
              </c:layout>
              <c:showLegendKey val="0"/>
              <c:showVal val="1"/>
              <c:showCatName val="0"/>
              <c:showSerName val="0"/>
              <c:showPercent val="0"/>
              <c:showBubbleSize val="0"/>
            </c:dLbl>
            <c:txPr>
              <a:bodyPr/>
              <a:lstStyle/>
              <a:p>
                <a:pPr>
                  <a:defRPr sz="800" b="0" i="0" u="none" strike="noStrike" baseline="0">
                    <a:solidFill>
                      <a:srgbClr val="000000"/>
                    </a:solidFill>
                    <a:latin typeface="Calibri"/>
                    <a:ea typeface="Calibri"/>
                    <a:cs typeface="Calibri"/>
                  </a:defRPr>
                </a:pPr>
                <a:endParaRPr lang="el-GR"/>
              </a:p>
            </c:txPr>
            <c:showLegendKey val="0"/>
            <c:showVal val="1"/>
            <c:showCatName val="0"/>
            <c:showSerName val="0"/>
            <c:showPercent val="0"/>
            <c:showBubbleSize val="0"/>
            <c:showLeaderLines val="0"/>
          </c:dLbls>
          <c:cat>
            <c:strRef>
              <c:f>Sheet1!$B$1:$J$1</c:f>
              <c:strCache>
                <c:ptCount val="7"/>
                <c:pt idx="0">
                  <c:v>Στον ΟΑΕΕ</c:v>
                </c:pt>
                <c:pt idx="1">
                  <c:v>Στην Εφορία</c:v>
                </c:pt>
                <c:pt idx="2">
                  <c:v>Σε ΔΕΚΟ</c:v>
                </c:pt>
                <c:pt idx="3">
                  <c:v>Σε προμηθευτές</c:v>
                </c:pt>
                <c:pt idx="4">
                  <c:v>ΕΝΟΙΚΙΟ</c:v>
                </c:pt>
                <c:pt idx="5">
                  <c:v>Σε δόσεις δανείου*</c:v>
                </c:pt>
                <c:pt idx="6">
                  <c:v>Στο ΙΚΑ*</c:v>
                </c:pt>
              </c:strCache>
            </c:strRef>
          </c:cat>
          <c:val>
            <c:numRef>
              <c:f>Sheet1!$B$2:$H$2</c:f>
              <c:numCache>
                <c:formatCode>General</c:formatCode>
                <c:ptCount val="7"/>
                <c:pt idx="0">
                  <c:v>26.7</c:v>
                </c:pt>
                <c:pt idx="1">
                  <c:v>23.8</c:v>
                </c:pt>
                <c:pt idx="2">
                  <c:v>22.1</c:v>
                </c:pt>
                <c:pt idx="3">
                  <c:v>21.7</c:v>
                </c:pt>
                <c:pt idx="4">
                  <c:v>16</c:v>
                </c:pt>
                <c:pt idx="5">
                  <c:v>10.8</c:v>
                </c:pt>
                <c:pt idx="6">
                  <c:v>10.4</c:v>
                </c:pt>
              </c:numCache>
            </c:numRef>
          </c:val>
        </c:ser>
        <c:ser>
          <c:idx val="2"/>
          <c:order val="1"/>
          <c:tx>
            <c:strRef>
              <c:f>Sheet1!$A$3</c:f>
              <c:strCache>
                <c:ptCount val="1"/>
                <c:pt idx="0">
                  <c:v>Ιούλιος 2016</c:v>
                </c:pt>
              </c:strCache>
            </c:strRef>
          </c:tx>
          <c:invertIfNegative val="0"/>
          <c:dLbls>
            <c:dLbl>
              <c:idx val="0"/>
              <c:layout>
                <c:manualLayout>
                  <c:x val="2.0490172207029086E-2"/>
                  <c:y val="-2.4422558946427048E-2"/>
                </c:manualLayout>
              </c:layout>
              <c:showLegendKey val="0"/>
              <c:showVal val="1"/>
              <c:showCatName val="0"/>
              <c:showSerName val="0"/>
              <c:showPercent val="0"/>
              <c:showBubbleSize val="0"/>
            </c:dLbl>
            <c:dLbl>
              <c:idx val="1"/>
              <c:layout>
                <c:manualLayout>
                  <c:x val="2.2395755811028914E-2"/>
                  <c:y val="-1.8138941470617766E-2"/>
                </c:manualLayout>
              </c:layout>
              <c:showLegendKey val="0"/>
              <c:showVal val="1"/>
              <c:showCatName val="0"/>
              <c:showSerName val="0"/>
              <c:showPercent val="0"/>
              <c:showBubbleSize val="0"/>
            </c:dLbl>
            <c:dLbl>
              <c:idx val="2"/>
              <c:layout>
                <c:manualLayout>
                  <c:x val="1.8627480338806984E-2"/>
                  <c:y val="-1.7718478103825312E-2"/>
                </c:manualLayout>
              </c:layout>
              <c:showLegendKey val="0"/>
              <c:showVal val="1"/>
              <c:showCatName val="0"/>
              <c:showSerName val="0"/>
              <c:showPercent val="0"/>
              <c:showBubbleSize val="0"/>
            </c:dLbl>
            <c:dLbl>
              <c:idx val="3"/>
              <c:layout>
                <c:manualLayout>
                  <c:x val="1.6774099519351264E-2"/>
                  <c:y val="-1.6457332886014513E-2"/>
                </c:manualLayout>
              </c:layout>
              <c:showLegendKey val="0"/>
              <c:showVal val="1"/>
              <c:showCatName val="0"/>
              <c:showSerName val="0"/>
              <c:showPercent val="0"/>
              <c:showBubbleSize val="0"/>
            </c:dLbl>
            <c:dLbl>
              <c:idx val="4"/>
              <c:layout>
                <c:manualLayout>
                  <c:x val="2.0490154615093785E-2"/>
                  <c:y val="-2.3518031927789028E-2"/>
                </c:manualLayout>
              </c:layout>
              <c:showLegendKey val="0"/>
              <c:showVal val="1"/>
              <c:showCatName val="0"/>
              <c:showSerName val="0"/>
              <c:showPercent val="0"/>
              <c:showBubbleSize val="0"/>
            </c:dLbl>
            <c:dLbl>
              <c:idx val="5"/>
              <c:layout>
                <c:manualLayout>
                  <c:x val="1.4987543079966656E-2"/>
                  <c:y val="-9.3300257861342589E-3"/>
                </c:manualLayout>
              </c:layout>
              <c:showLegendKey val="0"/>
              <c:showVal val="1"/>
              <c:showCatName val="0"/>
              <c:showSerName val="0"/>
              <c:showPercent val="0"/>
              <c:showBubbleSize val="0"/>
            </c:dLbl>
            <c:dLbl>
              <c:idx val="6"/>
              <c:layout>
                <c:manualLayout>
                  <c:x val="5.6203286549874956E-3"/>
                  <c:y val="-2.4438256840306576E-2"/>
                </c:manualLayout>
              </c:layout>
              <c:showLegendKey val="0"/>
              <c:showVal val="1"/>
              <c:showCatName val="0"/>
              <c:showSerName val="0"/>
              <c:showPercent val="0"/>
              <c:showBubbleSize val="0"/>
            </c:dLbl>
            <c:txPr>
              <a:bodyPr/>
              <a:lstStyle/>
              <a:p>
                <a:pPr>
                  <a:defRPr sz="800" b="0" i="0" u="none" strike="noStrike" baseline="0">
                    <a:solidFill>
                      <a:srgbClr val="000000"/>
                    </a:solidFill>
                    <a:latin typeface="Calibri"/>
                    <a:ea typeface="Calibri"/>
                    <a:cs typeface="Calibri"/>
                  </a:defRPr>
                </a:pPr>
                <a:endParaRPr lang="el-GR"/>
              </a:p>
            </c:txPr>
            <c:showLegendKey val="0"/>
            <c:showVal val="1"/>
            <c:showCatName val="0"/>
            <c:showSerName val="0"/>
            <c:showPercent val="0"/>
            <c:showBubbleSize val="0"/>
            <c:showLeaderLines val="0"/>
          </c:dLbls>
          <c:cat>
            <c:strRef>
              <c:f>Sheet1!$B$1:$J$1</c:f>
              <c:strCache>
                <c:ptCount val="7"/>
                <c:pt idx="0">
                  <c:v>Στον ΟΑΕΕ</c:v>
                </c:pt>
                <c:pt idx="1">
                  <c:v>Στην Εφορία</c:v>
                </c:pt>
                <c:pt idx="2">
                  <c:v>Σε ΔΕΚΟ</c:v>
                </c:pt>
                <c:pt idx="3">
                  <c:v>Σε προμηθευτές</c:v>
                </c:pt>
                <c:pt idx="4">
                  <c:v>ΕΝΟΙΚΙΟ</c:v>
                </c:pt>
                <c:pt idx="5">
                  <c:v>Σε δόσεις δανείου*</c:v>
                </c:pt>
                <c:pt idx="6">
                  <c:v>Στο ΙΚΑ*</c:v>
                </c:pt>
              </c:strCache>
            </c:strRef>
          </c:cat>
          <c:val>
            <c:numRef>
              <c:f>Sheet1!$B$3:$H$3</c:f>
              <c:numCache>
                <c:formatCode>General</c:formatCode>
                <c:ptCount val="7"/>
                <c:pt idx="0">
                  <c:v>28.3</c:v>
                </c:pt>
                <c:pt idx="1">
                  <c:v>21.9</c:v>
                </c:pt>
                <c:pt idx="2">
                  <c:v>22</c:v>
                </c:pt>
                <c:pt idx="3">
                  <c:v>19</c:v>
                </c:pt>
                <c:pt idx="4">
                  <c:v>17</c:v>
                </c:pt>
                <c:pt idx="5">
                  <c:v>11.6</c:v>
                </c:pt>
                <c:pt idx="6">
                  <c:v>8.8000000000000007</c:v>
                </c:pt>
              </c:numCache>
            </c:numRef>
          </c:val>
        </c:ser>
        <c:dLbls>
          <c:showLegendKey val="0"/>
          <c:showVal val="0"/>
          <c:showCatName val="0"/>
          <c:showSerName val="0"/>
          <c:showPercent val="0"/>
          <c:showBubbleSize val="0"/>
        </c:dLbls>
        <c:gapWidth val="150"/>
        <c:shape val="box"/>
        <c:axId val="115070848"/>
        <c:axId val="115072384"/>
        <c:axId val="112711872"/>
      </c:bar3DChart>
      <c:catAx>
        <c:axId val="115070848"/>
        <c:scaling>
          <c:orientation val="minMax"/>
        </c:scaling>
        <c:delete val="0"/>
        <c:axPos val="b"/>
        <c:numFmt formatCode="General" sourceLinked="1"/>
        <c:majorTickMark val="none"/>
        <c:minorTickMark val="none"/>
        <c:tickLblPos val="nextTo"/>
        <c:txPr>
          <a:bodyPr rot="0" vert="horz"/>
          <a:lstStyle/>
          <a:p>
            <a:pPr>
              <a:defRPr sz="700" b="0" i="0" u="none" strike="noStrike" baseline="0">
                <a:solidFill>
                  <a:srgbClr val="000000"/>
                </a:solidFill>
                <a:latin typeface="Calibri"/>
                <a:ea typeface="Calibri"/>
                <a:cs typeface="Calibri"/>
              </a:defRPr>
            </a:pPr>
            <a:endParaRPr lang="el-GR"/>
          </a:p>
        </c:txPr>
        <c:crossAx val="115072384"/>
        <c:crosses val="autoZero"/>
        <c:auto val="1"/>
        <c:lblAlgn val="ctr"/>
        <c:lblOffset val="100"/>
        <c:noMultiLvlLbl val="0"/>
      </c:catAx>
      <c:valAx>
        <c:axId val="115072384"/>
        <c:scaling>
          <c:orientation val="minMax"/>
        </c:scaling>
        <c:delete val="1"/>
        <c:axPos val="l"/>
        <c:numFmt formatCode="General" sourceLinked="1"/>
        <c:majorTickMark val="out"/>
        <c:minorTickMark val="none"/>
        <c:tickLblPos val="nextTo"/>
        <c:crossAx val="115070848"/>
        <c:crosses val="autoZero"/>
        <c:crossBetween val="between"/>
      </c:valAx>
      <c:serAx>
        <c:axId val="112711872"/>
        <c:scaling>
          <c:orientation val="minMax"/>
        </c:scaling>
        <c:delete val="1"/>
        <c:axPos val="b"/>
        <c:majorTickMark val="out"/>
        <c:minorTickMark val="none"/>
        <c:tickLblPos val="nextTo"/>
        <c:crossAx val="115072384"/>
        <c:crosses val="autoZero"/>
      </c:serAx>
      <c:spPr>
        <a:noFill/>
        <a:ln w="25400">
          <a:noFill/>
        </a:ln>
      </c:spPr>
    </c:plotArea>
    <c:legend>
      <c:legendPos val="t"/>
      <c:layout>
        <c:manualLayout>
          <c:xMode val="edge"/>
          <c:yMode val="edge"/>
          <c:x val="0.35248155301342049"/>
          <c:y val="0.19039094675963597"/>
          <c:w val="0.62539450905702865"/>
          <c:h val="5.9395505249343838E-2"/>
        </c:manualLayout>
      </c:layout>
      <c:overlay val="0"/>
      <c:txPr>
        <a:bodyPr/>
        <a:lstStyle/>
        <a:p>
          <a:pPr>
            <a:defRPr sz="920" b="0" i="0" u="none" strike="noStrike" baseline="0">
              <a:solidFill>
                <a:srgbClr val="000000"/>
              </a:solidFill>
              <a:latin typeface="Calibri"/>
              <a:ea typeface="Calibri"/>
              <a:cs typeface="Calibri"/>
            </a:defRPr>
          </a:pPr>
          <a:endParaRPr lang="el-GR"/>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l-G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02957393424435"/>
          <c:y val="0.28661489854070982"/>
          <c:w val="0.53749999999999998"/>
          <c:h val="0.80625000000000002"/>
        </c:manualLayout>
      </c:layout>
      <c:doughnutChart>
        <c:varyColors val="1"/>
        <c:ser>
          <c:idx val="0"/>
          <c:order val="0"/>
          <c:tx>
            <c:strRef>
              <c:f>Φύλλο1!$B$1</c:f>
              <c:strCache>
                <c:ptCount val="1"/>
                <c:pt idx="0">
                  <c:v>Πωλήσεις</c:v>
                </c:pt>
              </c:strCache>
            </c:strRef>
          </c:tx>
          <c:spPr>
            <a:ln>
              <a:solidFill>
                <a:schemeClr val="bg1"/>
              </a:solidFill>
            </a:ln>
          </c:spPr>
          <c:dPt>
            <c:idx val="0"/>
            <c:bubble3D val="0"/>
            <c:spPr>
              <a:solidFill>
                <a:schemeClr val="accent2">
                  <a:lumMod val="75000"/>
                </a:schemeClr>
              </a:solidFill>
              <a:ln>
                <a:solidFill>
                  <a:schemeClr val="bg1"/>
                </a:solidFill>
              </a:ln>
            </c:spPr>
          </c:dPt>
          <c:dPt>
            <c:idx val="1"/>
            <c:bubble3D val="0"/>
            <c:spPr>
              <a:solidFill>
                <a:schemeClr val="accent3">
                  <a:lumMod val="50000"/>
                </a:schemeClr>
              </a:solidFill>
              <a:ln>
                <a:solidFill>
                  <a:schemeClr val="bg1"/>
                </a:solidFill>
              </a:ln>
            </c:spPr>
          </c:dPt>
          <c:dPt>
            <c:idx val="2"/>
            <c:bubble3D val="0"/>
            <c:spPr>
              <a:solidFill>
                <a:srgbClr val="4F81BD">
                  <a:lumMod val="75000"/>
                </a:srgbClr>
              </a:solidFill>
              <a:ln>
                <a:solidFill>
                  <a:schemeClr val="bg1"/>
                </a:solidFill>
              </a:ln>
            </c:spPr>
          </c:dPt>
          <c:dLbls>
            <c:dLbl>
              <c:idx val="0"/>
              <c:layout>
                <c:manualLayout>
                  <c:x val="7.3356960935198834E-2"/>
                  <c:y val="-0.16399006062907018"/>
                </c:manualLayout>
              </c:layout>
              <c:tx>
                <c:rich>
                  <a:bodyPr/>
                  <a:lstStyle/>
                  <a:p>
                    <a:r>
                      <a:rPr lang="el-GR"/>
                      <a:t>Περισσότερα
25,8</a:t>
                    </a:r>
                  </a:p>
                </c:rich>
              </c:tx>
              <c:showLegendKey val="0"/>
              <c:showVal val="1"/>
              <c:showCatName val="1"/>
              <c:showSerName val="0"/>
              <c:showPercent val="0"/>
              <c:showBubbleSize val="0"/>
              <c:separator>
</c:separator>
            </c:dLbl>
            <c:dLbl>
              <c:idx val="1"/>
              <c:layout>
                <c:manualLayout>
                  <c:x val="-0.18039892871380592"/>
                  <c:y val="-0.33277431769250382"/>
                </c:manualLayout>
              </c:layout>
              <c:showLegendKey val="0"/>
              <c:showVal val="1"/>
              <c:showCatName val="1"/>
              <c:showSerName val="0"/>
              <c:showPercent val="0"/>
              <c:showBubbleSize val="0"/>
              <c:separator>
</c:separator>
            </c:dLbl>
            <c:dLbl>
              <c:idx val="2"/>
              <c:layout>
                <c:manualLayout>
                  <c:x val="0"/>
                  <c:y val="-0.14484297828784165"/>
                </c:manualLayout>
              </c:layout>
              <c:showLegendKey val="0"/>
              <c:showVal val="1"/>
              <c:showCatName val="1"/>
              <c:showSerName val="0"/>
              <c:showPercent val="0"/>
              <c:showBubbleSize val="0"/>
              <c:separator>
</c:separator>
            </c:dLbl>
            <c:dLbl>
              <c:idx val="3"/>
              <c:layout>
                <c:manualLayout>
                  <c:x val="-9.1666666666667451E-2"/>
                  <c:y val="-0.14375000000000004"/>
                </c:manualLayout>
              </c:layout>
              <c:showLegendKey val="0"/>
              <c:showVal val="1"/>
              <c:showCatName val="1"/>
              <c:showSerName val="0"/>
              <c:showPercent val="0"/>
              <c:showBubbleSize val="0"/>
              <c:separator>
</c:separator>
            </c:dLbl>
            <c:txPr>
              <a:bodyPr/>
              <a:lstStyle/>
              <a:p>
                <a:pPr>
                  <a:defRPr sz="900">
                    <a:latin typeface="Calibri" panose="020F0502020204030204" pitchFamily="34" charset="0"/>
                  </a:defRPr>
                </a:pPr>
                <a:endParaRPr lang="el-GR"/>
              </a:p>
            </c:txPr>
            <c:showLegendKey val="0"/>
            <c:showVal val="1"/>
            <c:showCatName val="1"/>
            <c:showSerName val="0"/>
            <c:showPercent val="0"/>
            <c:showBubbleSize val="0"/>
            <c:separator>
</c:separator>
            <c:showLeaderLines val="1"/>
          </c:dLbls>
          <c:cat>
            <c:strRef>
              <c:f>Φύλλο1!$A$2:$A$4</c:f>
              <c:strCache>
                <c:ptCount val="3"/>
                <c:pt idx="0">
                  <c:v>Περισσό-τερα</c:v>
                </c:pt>
                <c:pt idx="1">
                  <c:v>Λιγότερα</c:v>
                </c:pt>
                <c:pt idx="2">
                  <c:v>Τα ίδια</c:v>
                </c:pt>
              </c:strCache>
            </c:strRef>
          </c:cat>
          <c:val>
            <c:numRef>
              <c:f>Φύλλο1!$B$2:$B$4</c:f>
              <c:numCache>
                <c:formatCode>0.0</c:formatCode>
                <c:ptCount val="3"/>
                <c:pt idx="0">
                  <c:v>25.8</c:v>
                </c:pt>
                <c:pt idx="1">
                  <c:v>73.3</c:v>
                </c:pt>
                <c:pt idx="2">
                  <c:v>0.9</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txPr>
    <a:bodyPr/>
    <a:lstStyle/>
    <a:p>
      <a:pPr>
        <a:defRPr sz="1800"/>
      </a:pPr>
      <a:endParaRPr lang="el-G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200"/>
          </a:pPr>
          <a:endParaRPr lang="el-GR"/>
        </a:p>
      </c:txPr>
    </c:title>
    <c:autoTitleDeleted val="0"/>
    <c:plotArea>
      <c:layout/>
      <c:lineChart>
        <c:grouping val="standard"/>
        <c:varyColors val="0"/>
        <c:ser>
          <c:idx val="0"/>
          <c:order val="0"/>
          <c:tx>
            <c:strRef>
              <c:f>'Ηλεκτρονικές Συναλλαγές'!$A$4</c:f>
              <c:strCache>
                <c:ptCount val="1"/>
                <c:pt idx="0">
                  <c:v>Αριθμός  POS</c:v>
                </c:pt>
              </c:strCache>
            </c:strRef>
          </c:tx>
          <c:marker>
            <c:symbol val="none"/>
          </c:marker>
          <c:cat>
            <c:strRef>
              <c:f>'Ηλεκτρονικές Συναλλαγές'!$B$3:$J$3</c:f>
              <c:strCache>
                <c:ptCount val="9"/>
                <c:pt idx="0">
                  <c:v>2009</c:v>
                </c:pt>
                <c:pt idx="1">
                  <c:v>2010</c:v>
                </c:pt>
                <c:pt idx="2">
                  <c:v>2011</c:v>
                </c:pt>
                <c:pt idx="3">
                  <c:v>2012</c:v>
                </c:pt>
                <c:pt idx="4">
                  <c:v>2013</c:v>
                </c:pt>
                <c:pt idx="5">
                  <c:v>2014</c:v>
                </c:pt>
                <c:pt idx="6">
                  <c:v>2015</c:v>
                </c:pt>
                <c:pt idx="7">
                  <c:v>2016</c:v>
                </c:pt>
                <c:pt idx="8">
                  <c:v>2017</c:v>
                </c:pt>
              </c:strCache>
            </c:strRef>
          </c:cat>
          <c:val>
            <c:numRef>
              <c:f>'Ηλεκτρονικές Συναλλαγές'!$B$4:$J$4</c:f>
              <c:numCache>
                <c:formatCode>#,##0</c:formatCode>
                <c:ptCount val="9"/>
                <c:pt idx="0">
                  <c:v>426500</c:v>
                </c:pt>
                <c:pt idx="1">
                  <c:v>412900</c:v>
                </c:pt>
                <c:pt idx="2">
                  <c:v>361870</c:v>
                </c:pt>
                <c:pt idx="3">
                  <c:v>321190</c:v>
                </c:pt>
                <c:pt idx="4">
                  <c:v>279160</c:v>
                </c:pt>
                <c:pt idx="5">
                  <c:v>194800</c:v>
                </c:pt>
                <c:pt idx="6">
                  <c:v>219070</c:v>
                </c:pt>
                <c:pt idx="7">
                  <c:v>320000</c:v>
                </c:pt>
                <c:pt idx="8">
                  <c:v>410000</c:v>
                </c:pt>
              </c:numCache>
            </c:numRef>
          </c:val>
          <c:smooth val="0"/>
        </c:ser>
        <c:dLbls>
          <c:showLegendKey val="0"/>
          <c:showVal val="0"/>
          <c:showCatName val="0"/>
          <c:showSerName val="0"/>
          <c:showPercent val="0"/>
          <c:showBubbleSize val="0"/>
        </c:dLbls>
        <c:marker val="1"/>
        <c:smooth val="0"/>
        <c:axId val="106283776"/>
        <c:axId val="106285312"/>
      </c:lineChart>
      <c:catAx>
        <c:axId val="106283776"/>
        <c:scaling>
          <c:orientation val="minMax"/>
        </c:scaling>
        <c:delete val="0"/>
        <c:axPos val="b"/>
        <c:majorTickMark val="out"/>
        <c:minorTickMark val="none"/>
        <c:tickLblPos val="nextTo"/>
        <c:crossAx val="106285312"/>
        <c:crosses val="autoZero"/>
        <c:auto val="1"/>
        <c:lblAlgn val="ctr"/>
        <c:lblOffset val="100"/>
        <c:noMultiLvlLbl val="0"/>
      </c:catAx>
      <c:valAx>
        <c:axId val="106285312"/>
        <c:scaling>
          <c:orientation val="minMax"/>
        </c:scaling>
        <c:delete val="0"/>
        <c:axPos val="l"/>
        <c:majorGridlines/>
        <c:numFmt formatCode="#,##0" sourceLinked="1"/>
        <c:majorTickMark val="out"/>
        <c:minorTickMark val="none"/>
        <c:tickLblPos val="nextTo"/>
        <c:crossAx val="10628377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884608733201637"/>
          <c:y val="0.10526040035955612"/>
          <c:w val="0.77812960509629225"/>
          <c:h val="0.83061961970555465"/>
        </c:manualLayout>
      </c:layout>
      <c:barChart>
        <c:barDir val="bar"/>
        <c:grouping val="percentStacked"/>
        <c:varyColors val="0"/>
        <c:ser>
          <c:idx val="0"/>
          <c:order val="0"/>
          <c:tx>
            <c:strRef>
              <c:f>Φύλλο1!$B$1</c:f>
              <c:strCache>
                <c:ptCount val="1"/>
                <c:pt idx="0">
                  <c:v>Αύξηση</c:v>
                </c:pt>
              </c:strCache>
            </c:strRef>
          </c:tx>
          <c:spPr>
            <a:solidFill>
              <a:schemeClr val="accent3">
                <a:lumMod val="75000"/>
              </a:schemeClr>
            </a:solidFill>
          </c:spPr>
          <c:invertIfNegative val="0"/>
          <c:dLbls>
            <c:txPr>
              <a:bodyPr/>
              <a:lstStyle/>
              <a:p>
                <a:pPr>
                  <a:defRPr sz="900">
                    <a:solidFill>
                      <a:schemeClr val="bg1"/>
                    </a:solidFill>
                    <a:latin typeface="Calibri" panose="020F0502020204030204" pitchFamily="34" charset="0"/>
                  </a:defRPr>
                </a:pPr>
                <a:endParaRPr lang="el-GR"/>
              </a:p>
            </c:txPr>
            <c:showLegendKey val="0"/>
            <c:showVal val="1"/>
            <c:showCatName val="0"/>
            <c:showSerName val="0"/>
            <c:showPercent val="0"/>
            <c:showBubbleSize val="0"/>
            <c:showLeaderLines val="0"/>
          </c:dLbls>
          <c:cat>
            <c:strRef>
              <c:f>Φύλλο1!$A$2:$A$8</c:f>
              <c:strCache>
                <c:ptCount val="7"/>
                <c:pt idx="0">
                  <c:v>ΑΠΑΣΧΟΛΗΣΗ</c:v>
                </c:pt>
                <c:pt idx="1">
                  <c:v>ΤΙΜΕΣ</c:v>
                </c:pt>
                <c:pt idx="2">
                  <c:v>ΕΠΕΝΔΥΣΕΙΣ</c:v>
                </c:pt>
                <c:pt idx="3">
                  <c:v>ΠΑΡΑΓΓΕΛΙΕΣ</c:v>
                </c:pt>
                <c:pt idx="4">
                  <c:v>ΡΕΥΣΤΟΤΗΤΑ</c:v>
                </c:pt>
                <c:pt idx="5">
                  <c:v>ΖΗΤΗΣΗ</c:v>
                </c:pt>
                <c:pt idx="6">
                  <c:v>ΚΥΚΛΟΣ ΕΡΓΑΣΙΩΝ</c:v>
                </c:pt>
              </c:strCache>
            </c:strRef>
          </c:cat>
          <c:val>
            <c:numRef>
              <c:f>Φύλλο1!$B$2:$B$8</c:f>
              <c:numCache>
                <c:formatCode>General</c:formatCode>
                <c:ptCount val="7"/>
                <c:pt idx="0">
                  <c:v>5.0999999999999996</c:v>
                </c:pt>
                <c:pt idx="1">
                  <c:v>7.1</c:v>
                </c:pt>
                <c:pt idx="2">
                  <c:v>3.6</c:v>
                </c:pt>
                <c:pt idx="3">
                  <c:v>9.2000000000000011</c:v>
                </c:pt>
                <c:pt idx="4">
                  <c:v>8.2000000000000011</c:v>
                </c:pt>
                <c:pt idx="5">
                  <c:v>10.8</c:v>
                </c:pt>
                <c:pt idx="6">
                  <c:v>9.7000000000000011</c:v>
                </c:pt>
              </c:numCache>
            </c:numRef>
          </c:val>
        </c:ser>
        <c:ser>
          <c:idx val="1"/>
          <c:order val="1"/>
          <c:tx>
            <c:strRef>
              <c:f>Φύλλο1!$C$1</c:f>
              <c:strCache>
                <c:ptCount val="1"/>
                <c:pt idx="0">
                  <c:v>Μείωση</c:v>
                </c:pt>
              </c:strCache>
            </c:strRef>
          </c:tx>
          <c:invertIfNegative val="0"/>
          <c:dLbls>
            <c:txPr>
              <a:bodyPr/>
              <a:lstStyle/>
              <a:p>
                <a:pPr algn="ctr">
                  <a:defRPr lang="el-GR" sz="900" b="0" i="0" u="none" strike="noStrike" kern="1200" baseline="0">
                    <a:solidFill>
                      <a:prstClr val="white"/>
                    </a:solidFill>
                    <a:latin typeface="Calibri" panose="020F0502020204030204" pitchFamily="34" charset="0"/>
                    <a:ea typeface="+mn-ea"/>
                    <a:cs typeface="+mn-cs"/>
                  </a:defRPr>
                </a:pPr>
                <a:endParaRPr lang="el-GR"/>
              </a:p>
            </c:txPr>
            <c:showLegendKey val="0"/>
            <c:showVal val="1"/>
            <c:showCatName val="0"/>
            <c:showSerName val="0"/>
            <c:showPercent val="0"/>
            <c:showBubbleSize val="0"/>
            <c:showLeaderLines val="0"/>
          </c:dLbls>
          <c:cat>
            <c:strRef>
              <c:f>Φύλλο1!$A$2:$A$8</c:f>
              <c:strCache>
                <c:ptCount val="7"/>
                <c:pt idx="0">
                  <c:v>ΑΠΑΣΧΟΛΗΣΗ</c:v>
                </c:pt>
                <c:pt idx="1">
                  <c:v>ΤΙΜΕΣ</c:v>
                </c:pt>
                <c:pt idx="2">
                  <c:v>ΕΠΕΝΔΥΣΕΙΣ</c:v>
                </c:pt>
                <c:pt idx="3">
                  <c:v>ΠΑΡΑΓΓΕΛΙΕΣ</c:v>
                </c:pt>
                <c:pt idx="4">
                  <c:v>ΡΕΥΣΤΟΤΗΤΑ</c:v>
                </c:pt>
                <c:pt idx="5">
                  <c:v>ΖΗΤΗΣΗ</c:v>
                </c:pt>
                <c:pt idx="6">
                  <c:v>ΚΥΚΛΟΣ ΕΡΓΑΣΙΩΝ</c:v>
                </c:pt>
              </c:strCache>
            </c:strRef>
          </c:cat>
          <c:val>
            <c:numRef>
              <c:f>Φύλλο1!$C$2:$C$8</c:f>
              <c:numCache>
                <c:formatCode>General</c:formatCode>
                <c:ptCount val="7"/>
                <c:pt idx="0">
                  <c:v>7.4</c:v>
                </c:pt>
                <c:pt idx="1">
                  <c:v>22.4</c:v>
                </c:pt>
                <c:pt idx="2">
                  <c:v>31.4</c:v>
                </c:pt>
                <c:pt idx="3">
                  <c:v>58.7</c:v>
                </c:pt>
                <c:pt idx="4">
                  <c:v>61.8</c:v>
                </c:pt>
                <c:pt idx="5">
                  <c:v>57.2</c:v>
                </c:pt>
                <c:pt idx="6">
                  <c:v>58.1</c:v>
                </c:pt>
              </c:numCache>
            </c:numRef>
          </c:val>
        </c:ser>
        <c:ser>
          <c:idx val="2"/>
          <c:order val="2"/>
          <c:tx>
            <c:strRef>
              <c:f>Φύλλο1!$D$1</c:f>
              <c:strCache>
                <c:ptCount val="1"/>
                <c:pt idx="0">
                  <c:v>Χωρίς μεταβολή</c:v>
                </c:pt>
              </c:strCache>
            </c:strRef>
          </c:tx>
          <c:spPr>
            <a:solidFill>
              <a:schemeClr val="accent1">
                <a:lumMod val="75000"/>
              </a:schemeClr>
            </a:solidFill>
          </c:spPr>
          <c:invertIfNegative val="0"/>
          <c:dLbls>
            <c:txPr>
              <a:bodyPr/>
              <a:lstStyle/>
              <a:p>
                <a:pPr algn="ctr">
                  <a:defRPr lang="el-GR" sz="900" b="0" i="0" u="none" strike="noStrike" kern="1200" baseline="0">
                    <a:solidFill>
                      <a:prstClr val="white"/>
                    </a:solidFill>
                    <a:latin typeface="Calibri" panose="020F0502020204030204" pitchFamily="34" charset="0"/>
                    <a:ea typeface="+mn-ea"/>
                    <a:cs typeface="+mn-cs"/>
                  </a:defRPr>
                </a:pPr>
                <a:endParaRPr lang="el-GR"/>
              </a:p>
            </c:txPr>
            <c:showLegendKey val="0"/>
            <c:showVal val="1"/>
            <c:showCatName val="0"/>
            <c:showSerName val="0"/>
            <c:showPercent val="0"/>
            <c:showBubbleSize val="0"/>
            <c:showLeaderLines val="0"/>
          </c:dLbls>
          <c:cat>
            <c:strRef>
              <c:f>Φύλλο1!$A$2:$A$8</c:f>
              <c:strCache>
                <c:ptCount val="7"/>
                <c:pt idx="0">
                  <c:v>ΑΠΑΣΧΟΛΗΣΗ</c:v>
                </c:pt>
                <c:pt idx="1">
                  <c:v>ΤΙΜΕΣ</c:v>
                </c:pt>
                <c:pt idx="2">
                  <c:v>ΕΠΕΝΔΥΣΕΙΣ</c:v>
                </c:pt>
                <c:pt idx="3">
                  <c:v>ΠΑΡΑΓΓΕΛΙΕΣ</c:v>
                </c:pt>
                <c:pt idx="4">
                  <c:v>ΡΕΥΣΤΟΤΗΤΑ</c:v>
                </c:pt>
                <c:pt idx="5">
                  <c:v>ΖΗΤΗΣΗ</c:v>
                </c:pt>
                <c:pt idx="6">
                  <c:v>ΚΥΚΛΟΣ ΕΡΓΑΣΙΩΝ</c:v>
                </c:pt>
              </c:strCache>
            </c:strRef>
          </c:cat>
          <c:val>
            <c:numRef>
              <c:f>Φύλλο1!$D$2:$D$8</c:f>
              <c:numCache>
                <c:formatCode>General</c:formatCode>
                <c:ptCount val="7"/>
                <c:pt idx="0">
                  <c:v>81.099999999999994</c:v>
                </c:pt>
                <c:pt idx="1">
                  <c:v>66.2</c:v>
                </c:pt>
                <c:pt idx="2">
                  <c:v>55.7</c:v>
                </c:pt>
                <c:pt idx="3">
                  <c:v>25.1</c:v>
                </c:pt>
                <c:pt idx="4">
                  <c:v>24.4</c:v>
                </c:pt>
                <c:pt idx="5">
                  <c:v>26.5</c:v>
                </c:pt>
                <c:pt idx="6">
                  <c:v>26.9</c:v>
                </c:pt>
              </c:numCache>
            </c:numRef>
          </c:val>
        </c:ser>
        <c:ser>
          <c:idx val="3"/>
          <c:order val="3"/>
          <c:tx>
            <c:strRef>
              <c:f>Φύλλο1!$E$1</c:f>
              <c:strCache>
                <c:ptCount val="1"/>
                <c:pt idx="0">
                  <c:v>ΔΑ</c:v>
                </c:pt>
              </c:strCache>
            </c:strRef>
          </c:tx>
          <c:spPr>
            <a:solidFill>
              <a:schemeClr val="tx1">
                <a:lumMod val="50000"/>
                <a:lumOff val="50000"/>
              </a:schemeClr>
            </a:solidFill>
          </c:spPr>
          <c:invertIfNegative val="0"/>
          <c:dLbls>
            <c:txPr>
              <a:bodyPr/>
              <a:lstStyle/>
              <a:p>
                <a:pPr algn="ctr">
                  <a:defRPr lang="el-GR" sz="900" b="0" i="0" u="none" strike="noStrike" kern="1200" baseline="0">
                    <a:solidFill>
                      <a:prstClr val="white"/>
                    </a:solidFill>
                    <a:latin typeface="Calibri" panose="020F0502020204030204" pitchFamily="34" charset="0"/>
                    <a:ea typeface="+mn-ea"/>
                    <a:cs typeface="+mn-cs"/>
                  </a:defRPr>
                </a:pPr>
                <a:endParaRPr lang="el-GR"/>
              </a:p>
            </c:txPr>
            <c:showLegendKey val="0"/>
            <c:showVal val="1"/>
            <c:showCatName val="0"/>
            <c:showSerName val="0"/>
            <c:showPercent val="0"/>
            <c:showBubbleSize val="0"/>
            <c:showLeaderLines val="0"/>
          </c:dLbls>
          <c:cat>
            <c:strRef>
              <c:f>Φύλλο1!$A$2:$A$8</c:f>
              <c:strCache>
                <c:ptCount val="7"/>
                <c:pt idx="0">
                  <c:v>ΑΠΑΣΧΟΛΗΣΗ</c:v>
                </c:pt>
                <c:pt idx="1">
                  <c:v>ΤΙΜΕΣ</c:v>
                </c:pt>
                <c:pt idx="2">
                  <c:v>ΕΠΕΝΔΥΣΕΙΣ</c:v>
                </c:pt>
                <c:pt idx="3">
                  <c:v>ΠΑΡΑΓΓΕΛΙΕΣ</c:v>
                </c:pt>
                <c:pt idx="4">
                  <c:v>ΡΕΥΣΤΟΤΗΤΑ</c:v>
                </c:pt>
                <c:pt idx="5">
                  <c:v>ΖΗΤΗΣΗ</c:v>
                </c:pt>
                <c:pt idx="6">
                  <c:v>ΚΥΚΛΟΣ ΕΡΓΑΣΙΩΝ</c:v>
                </c:pt>
              </c:strCache>
            </c:strRef>
          </c:cat>
          <c:val>
            <c:numRef>
              <c:f>Φύλλο1!$E$2:$E$8</c:f>
              <c:numCache>
                <c:formatCode>General</c:formatCode>
                <c:ptCount val="7"/>
                <c:pt idx="0">
                  <c:v>6.4</c:v>
                </c:pt>
                <c:pt idx="1">
                  <c:v>4.3</c:v>
                </c:pt>
                <c:pt idx="2">
                  <c:v>3.6</c:v>
                </c:pt>
                <c:pt idx="3">
                  <c:v>7</c:v>
                </c:pt>
                <c:pt idx="4">
                  <c:v>5.6</c:v>
                </c:pt>
                <c:pt idx="5">
                  <c:v>5.5</c:v>
                </c:pt>
                <c:pt idx="6">
                  <c:v>5.3</c:v>
                </c:pt>
              </c:numCache>
            </c:numRef>
          </c:val>
        </c:ser>
        <c:dLbls>
          <c:showLegendKey val="0"/>
          <c:showVal val="0"/>
          <c:showCatName val="0"/>
          <c:showSerName val="0"/>
          <c:showPercent val="0"/>
          <c:showBubbleSize val="0"/>
        </c:dLbls>
        <c:gapWidth val="50"/>
        <c:overlap val="100"/>
        <c:axId val="107737472"/>
        <c:axId val="107739008"/>
      </c:barChart>
      <c:catAx>
        <c:axId val="107737472"/>
        <c:scaling>
          <c:orientation val="minMax"/>
        </c:scaling>
        <c:delete val="0"/>
        <c:axPos val="l"/>
        <c:majorTickMark val="out"/>
        <c:minorTickMark val="none"/>
        <c:tickLblPos val="nextTo"/>
        <c:txPr>
          <a:bodyPr/>
          <a:lstStyle/>
          <a:p>
            <a:pPr>
              <a:defRPr sz="900">
                <a:latin typeface="Calibri" panose="020F0502020204030204" pitchFamily="34" charset="0"/>
              </a:defRPr>
            </a:pPr>
            <a:endParaRPr lang="el-GR"/>
          </a:p>
        </c:txPr>
        <c:crossAx val="107739008"/>
        <c:crosses val="autoZero"/>
        <c:auto val="1"/>
        <c:lblAlgn val="ctr"/>
        <c:lblOffset val="100"/>
        <c:noMultiLvlLbl val="0"/>
      </c:catAx>
      <c:valAx>
        <c:axId val="107739008"/>
        <c:scaling>
          <c:orientation val="minMax"/>
        </c:scaling>
        <c:delete val="0"/>
        <c:axPos val="b"/>
        <c:majorGridlines/>
        <c:numFmt formatCode="0%" sourceLinked="1"/>
        <c:majorTickMark val="out"/>
        <c:minorTickMark val="none"/>
        <c:tickLblPos val="nextTo"/>
        <c:txPr>
          <a:bodyPr/>
          <a:lstStyle/>
          <a:p>
            <a:pPr>
              <a:defRPr sz="900">
                <a:latin typeface="Calibri" panose="020F0502020204030204" pitchFamily="34" charset="0"/>
              </a:defRPr>
            </a:pPr>
            <a:endParaRPr lang="el-GR"/>
          </a:p>
        </c:txPr>
        <c:crossAx val="107737472"/>
        <c:crosses val="autoZero"/>
        <c:crossBetween val="between"/>
      </c:valAx>
    </c:plotArea>
    <c:legend>
      <c:legendPos val="r"/>
      <c:layout>
        <c:manualLayout>
          <c:xMode val="edge"/>
          <c:yMode val="edge"/>
          <c:x val="0.22477518803797439"/>
          <c:y val="5.4640010147428599E-6"/>
          <c:w val="0.66327029276440941"/>
          <c:h val="4.2934418698222704E-2"/>
        </c:manualLayout>
      </c:layout>
      <c:overlay val="0"/>
      <c:txPr>
        <a:bodyPr/>
        <a:lstStyle/>
        <a:p>
          <a:pPr>
            <a:defRPr sz="800">
              <a:latin typeface="Calibri" panose="020F0502020204030204" pitchFamily="34" charset="0"/>
            </a:defRPr>
          </a:pPr>
          <a:endParaRPr lang="el-GR"/>
        </a:p>
      </c:txPr>
    </c:legend>
    <c:plotVisOnly val="1"/>
    <c:dispBlanksAs val="gap"/>
    <c:showDLblsOverMax val="0"/>
  </c:chart>
  <c:txPr>
    <a:bodyPr/>
    <a:lstStyle/>
    <a:p>
      <a:pPr>
        <a:defRPr sz="1800"/>
      </a:pPr>
      <a:endParaRPr lang="el-G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Φύλλο1!$B$1</c:f>
              <c:strCache>
                <c:ptCount val="1"/>
                <c:pt idx="0">
                  <c:v>Σειρά 1</c:v>
                </c:pt>
              </c:strCache>
            </c:strRef>
          </c:tx>
          <c:invertIfNegative val="0"/>
          <c:dPt>
            <c:idx val="0"/>
            <c:invertIfNegative val="0"/>
            <c:bubble3D val="0"/>
            <c:spPr>
              <a:solidFill>
                <a:schemeClr val="tx1">
                  <a:lumMod val="50000"/>
                  <a:lumOff val="50000"/>
                </a:schemeClr>
              </a:solidFill>
            </c:spPr>
          </c:dPt>
          <c:dLbls>
            <c:dLbl>
              <c:idx val="4"/>
              <c:spPr/>
              <c:txPr>
                <a:bodyPr/>
                <a:lstStyle/>
                <a:p>
                  <a:pPr algn="ctr">
                    <a:defRPr lang="el-GR" sz="900" b="0" i="0" u="none" strike="noStrike" kern="1200" baseline="0">
                      <a:solidFill>
                        <a:prstClr val="black"/>
                      </a:solidFill>
                      <a:latin typeface="Calibri" panose="020F0502020204030204" pitchFamily="34" charset="0"/>
                      <a:ea typeface="+mn-ea"/>
                      <a:cs typeface="+mn-cs"/>
                    </a:defRPr>
                  </a:pPr>
                  <a:endParaRPr lang="el-GR"/>
                </a:p>
              </c:txPr>
              <c:showLegendKey val="0"/>
              <c:showVal val="1"/>
              <c:showCatName val="0"/>
              <c:showSerName val="0"/>
              <c:showPercent val="0"/>
              <c:showBubbleSize val="0"/>
            </c:dLbl>
            <c:dLbl>
              <c:idx val="5"/>
              <c:spPr/>
              <c:txPr>
                <a:bodyPr/>
                <a:lstStyle/>
                <a:p>
                  <a:pPr algn="ctr">
                    <a:defRPr lang="el-GR" sz="900" b="0" i="0" u="none" strike="noStrike" kern="1200" baseline="0">
                      <a:solidFill>
                        <a:prstClr val="black"/>
                      </a:solidFill>
                      <a:latin typeface="Calibri" panose="020F0502020204030204" pitchFamily="34" charset="0"/>
                      <a:ea typeface="+mn-ea"/>
                      <a:cs typeface="+mn-cs"/>
                    </a:defRPr>
                  </a:pPr>
                  <a:endParaRPr lang="el-GR"/>
                </a:p>
              </c:txPr>
              <c:showLegendKey val="0"/>
              <c:showVal val="1"/>
              <c:showCatName val="0"/>
              <c:showSerName val="0"/>
              <c:showPercent val="0"/>
              <c:showBubbleSize val="0"/>
            </c:dLbl>
            <c:txPr>
              <a:bodyPr/>
              <a:lstStyle/>
              <a:p>
                <a:pPr>
                  <a:defRPr sz="900">
                    <a:latin typeface="Calibri" panose="020F0502020204030204" pitchFamily="34" charset="0"/>
                  </a:defRPr>
                </a:pPr>
                <a:endParaRPr lang="el-GR"/>
              </a:p>
            </c:txPr>
            <c:showLegendKey val="0"/>
            <c:showVal val="1"/>
            <c:showCatName val="0"/>
            <c:showSerName val="0"/>
            <c:showPercent val="0"/>
            <c:showBubbleSize val="0"/>
            <c:showLeaderLines val="0"/>
          </c:dLbls>
          <c:cat>
            <c:strRef>
              <c:f>Φύλλο1!$A$2:$A$7</c:f>
              <c:strCache>
                <c:ptCount val="6"/>
                <c:pt idx="0">
                  <c:v>ΔΓ/ΔΑ</c:v>
                </c:pt>
                <c:pt idx="1">
                  <c:v>2,1% και άνω</c:v>
                </c:pt>
                <c:pt idx="2">
                  <c:v>1,51%-2%</c:v>
                </c:pt>
                <c:pt idx="3">
                  <c:v>1,1%-1,5%</c:v>
                </c:pt>
                <c:pt idx="4">
                  <c:v>0,51%-1%</c:v>
                </c:pt>
                <c:pt idx="5">
                  <c:v>0,50%</c:v>
                </c:pt>
              </c:strCache>
            </c:strRef>
          </c:cat>
          <c:val>
            <c:numRef>
              <c:f>Φύλλο1!$B$2:$B$7</c:f>
              <c:numCache>
                <c:formatCode>0.0</c:formatCode>
                <c:ptCount val="6"/>
                <c:pt idx="0">
                  <c:v>19.281663516068047</c:v>
                </c:pt>
                <c:pt idx="1">
                  <c:v>8.3175803402646533</c:v>
                </c:pt>
                <c:pt idx="2">
                  <c:v>18.714555765595478</c:v>
                </c:pt>
                <c:pt idx="3">
                  <c:v>26.086956521739129</c:v>
                </c:pt>
                <c:pt idx="4">
                  <c:v>25.519848771266545</c:v>
                </c:pt>
                <c:pt idx="5">
                  <c:v>2.0793950850661624</c:v>
                </c:pt>
              </c:numCache>
            </c:numRef>
          </c:val>
        </c:ser>
        <c:dLbls>
          <c:showLegendKey val="0"/>
          <c:showVal val="0"/>
          <c:showCatName val="0"/>
          <c:showSerName val="0"/>
          <c:showPercent val="0"/>
          <c:showBubbleSize val="0"/>
        </c:dLbls>
        <c:gapWidth val="72"/>
        <c:axId val="115174784"/>
        <c:axId val="115180672"/>
      </c:barChart>
      <c:catAx>
        <c:axId val="115174784"/>
        <c:scaling>
          <c:orientation val="minMax"/>
        </c:scaling>
        <c:delete val="0"/>
        <c:axPos val="l"/>
        <c:majorTickMark val="out"/>
        <c:minorTickMark val="none"/>
        <c:tickLblPos val="nextTo"/>
        <c:txPr>
          <a:bodyPr/>
          <a:lstStyle/>
          <a:p>
            <a:pPr>
              <a:defRPr sz="900">
                <a:latin typeface="Calibri" panose="020F0502020204030204" pitchFamily="34" charset="0"/>
              </a:defRPr>
            </a:pPr>
            <a:endParaRPr lang="el-GR"/>
          </a:p>
        </c:txPr>
        <c:crossAx val="115180672"/>
        <c:crosses val="autoZero"/>
        <c:auto val="1"/>
        <c:lblAlgn val="ctr"/>
        <c:lblOffset val="100"/>
        <c:noMultiLvlLbl val="0"/>
      </c:catAx>
      <c:valAx>
        <c:axId val="115180672"/>
        <c:scaling>
          <c:orientation val="minMax"/>
          <c:max val="100"/>
        </c:scaling>
        <c:delete val="0"/>
        <c:axPos val="b"/>
        <c:majorGridlines/>
        <c:numFmt formatCode="0.0" sourceLinked="1"/>
        <c:majorTickMark val="out"/>
        <c:minorTickMark val="none"/>
        <c:tickLblPos val="nextTo"/>
        <c:txPr>
          <a:bodyPr/>
          <a:lstStyle/>
          <a:p>
            <a:pPr>
              <a:defRPr sz="900">
                <a:latin typeface="Calibri" panose="020F0502020204030204" pitchFamily="34" charset="0"/>
              </a:defRPr>
            </a:pPr>
            <a:endParaRPr lang="el-GR"/>
          </a:p>
        </c:txPr>
        <c:crossAx val="115174784"/>
        <c:crosses val="autoZero"/>
        <c:crossBetween val="between"/>
      </c:valAx>
    </c:plotArea>
    <c:plotVisOnly val="1"/>
    <c:dispBlanksAs val="gap"/>
    <c:showDLblsOverMax val="0"/>
  </c:chart>
  <c:txPr>
    <a:bodyPr/>
    <a:lstStyle/>
    <a:p>
      <a:pPr>
        <a:defRPr sz="1800"/>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25000000000001"/>
          <c:y val="0.14687500000000001"/>
          <c:w val="0.53749999999999998"/>
          <c:h val="0.80625000000000002"/>
        </c:manualLayout>
      </c:layout>
      <c:doughnutChart>
        <c:varyColors val="1"/>
        <c:ser>
          <c:idx val="0"/>
          <c:order val="0"/>
          <c:tx>
            <c:strRef>
              <c:f>Φύλλο1!$B$1</c:f>
              <c:strCache>
                <c:ptCount val="1"/>
                <c:pt idx="0">
                  <c:v>Πωλήσεις</c:v>
                </c:pt>
              </c:strCache>
            </c:strRef>
          </c:tx>
          <c:spPr>
            <a:ln>
              <a:solidFill>
                <a:schemeClr val="bg1"/>
              </a:solidFill>
            </a:ln>
          </c:spPr>
          <c:dPt>
            <c:idx val="0"/>
            <c:bubble3D val="0"/>
            <c:spPr>
              <a:solidFill>
                <a:schemeClr val="accent2">
                  <a:lumMod val="75000"/>
                </a:schemeClr>
              </a:solidFill>
              <a:ln>
                <a:solidFill>
                  <a:schemeClr val="bg1"/>
                </a:solidFill>
              </a:ln>
            </c:spPr>
          </c:dPt>
          <c:dPt>
            <c:idx val="1"/>
            <c:bubble3D val="0"/>
            <c:spPr>
              <a:solidFill>
                <a:schemeClr val="accent2">
                  <a:lumMod val="60000"/>
                  <a:lumOff val="40000"/>
                </a:schemeClr>
              </a:solidFill>
              <a:ln>
                <a:solidFill>
                  <a:schemeClr val="bg1"/>
                </a:solidFill>
              </a:ln>
            </c:spPr>
          </c:dPt>
          <c:dPt>
            <c:idx val="2"/>
            <c:bubble3D val="0"/>
            <c:spPr>
              <a:solidFill>
                <a:schemeClr val="accent3">
                  <a:lumMod val="75000"/>
                </a:schemeClr>
              </a:solidFill>
              <a:ln>
                <a:solidFill>
                  <a:schemeClr val="bg1"/>
                </a:solidFill>
              </a:ln>
            </c:spPr>
          </c:dPt>
          <c:dPt>
            <c:idx val="3"/>
            <c:bubble3D val="0"/>
            <c:spPr>
              <a:solidFill>
                <a:schemeClr val="accent3">
                  <a:lumMod val="50000"/>
                </a:schemeClr>
              </a:solidFill>
              <a:ln>
                <a:solidFill>
                  <a:schemeClr val="bg1"/>
                </a:solidFill>
              </a:ln>
            </c:spPr>
          </c:dPt>
          <c:dPt>
            <c:idx val="4"/>
            <c:bubble3D val="0"/>
            <c:spPr>
              <a:solidFill>
                <a:schemeClr val="tx1">
                  <a:lumMod val="50000"/>
                  <a:lumOff val="50000"/>
                </a:schemeClr>
              </a:solidFill>
              <a:ln>
                <a:solidFill>
                  <a:schemeClr val="bg1"/>
                </a:solidFill>
              </a:ln>
            </c:spPr>
          </c:dPt>
          <c:dLbls>
            <c:dLbl>
              <c:idx val="0"/>
              <c:layout>
                <c:manualLayout>
                  <c:x val="0.10208316929133858"/>
                  <c:y val="-0.140625"/>
                </c:manualLayout>
              </c:layout>
              <c:showLegendKey val="0"/>
              <c:showVal val="1"/>
              <c:showCatName val="1"/>
              <c:showSerName val="0"/>
              <c:showPercent val="0"/>
              <c:showBubbleSize val="0"/>
              <c:separator>
</c:separator>
            </c:dLbl>
            <c:dLbl>
              <c:idx val="1"/>
              <c:layout>
                <c:manualLayout>
                  <c:x val="0.16666666666666666"/>
                  <c:y val="3.7500000000000006E-2"/>
                </c:manualLayout>
              </c:layout>
              <c:showLegendKey val="0"/>
              <c:showVal val="1"/>
              <c:showCatName val="1"/>
              <c:showSerName val="0"/>
              <c:showPercent val="0"/>
              <c:showBubbleSize val="0"/>
              <c:separator>
</c:separator>
            </c:dLbl>
            <c:dLbl>
              <c:idx val="2"/>
              <c:layout>
                <c:manualLayout>
                  <c:x val="-0.20625000000000004"/>
                  <c:y val="6.7805610236220504E-2"/>
                </c:manualLayout>
              </c:layout>
              <c:showLegendKey val="0"/>
              <c:showVal val="1"/>
              <c:showCatName val="1"/>
              <c:showSerName val="0"/>
              <c:showPercent val="0"/>
              <c:showBubbleSize val="0"/>
              <c:separator>
</c:separator>
            </c:dLbl>
            <c:dLbl>
              <c:idx val="3"/>
              <c:layout>
                <c:manualLayout>
                  <c:x val="-0.14375000000000004"/>
                  <c:y val="-9.6875000000000044E-2"/>
                </c:manualLayout>
              </c:layout>
              <c:showLegendKey val="0"/>
              <c:showVal val="1"/>
              <c:showCatName val="1"/>
              <c:showSerName val="0"/>
              <c:showPercent val="0"/>
              <c:showBubbleSize val="0"/>
              <c:separator>
</c:separator>
            </c:dLbl>
            <c:dLbl>
              <c:idx val="4"/>
              <c:layout>
                <c:manualLayout>
                  <c:x val="-1.2500000000000001E-2"/>
                  <c:y val="-0.16562499999999997"/>
                </c:manualLayout>
              </c:layout>
              <c:showLegendKey val="0"/>
              <c:showVal val="1"/>
              <c:showCatName val="1"/>
              <c:showSerName val="0"/>
              <c:showPercent val="0"/>
              <c:showBubbleSize val="0"/>
              <c:separator>
</c:separator>
            </c:dLbl>
            <c:txPr>
              <a:bodyPr/>
              <a:lstStyle/>
              <a:p>
                <a:pPr>
                  <a:defRPr sz="900">
                    <a:latin typeface="Calibri" panose="020F0502020204030204" pitchFamily="34" charset="0"/>
                  </a:defRPr>
                </a:pPr>
                <a:endParaRPr lang="el-GR"/>
              </a:p>
            </c:txPr>
            <c:showLegendKey val="0"/>
            <c:showVal val="1"/>
            <c:showCatName val="1"/>
            <c:showSerName val="0"/>
            <c:showPercent val="0"/>
            <c:showBubbleSize val="0"/>
            <c:separator>
</c:separator>
            <c:showLeaderLines val="1"/>
          </c:dLbls>
          <c:cat>
            <c:strRef>
              <c:f>Φύλλο1!$A$2:$A$6</c:f>
              <c:strCache>
                <c:ptCount val="5"/>
                <c:pt idx="0">
                  <c:v>Πολύ πιθανό</c:v>
                </c:pt>
                <c:pt idx="1">
                  <c:v>Αρκετά πιθανό</c:v>
                </c:pt>
                <c:pt idx="2">
                  <c:v>Ελάχιστα πιθανό</c:v>
                </c:pt>
                <c:pt idx="3">
                  <c:v>Καθόλου πιθανό</c:v>
                </c:pt>
                <c:pt idx="4">
                  <c:v>ΔΑ</c:v>
                </c:pt>
              </c:strCache>
            </c:strRef>
          </c:cat>
          <c:val>
            <c:numRef>
              <c:f>Φύλλο1!$B$2:$B$6</c:f>
              <c:numCache>
                <c:formatCode>0.0</c:formatCode>
                <c:ptCount val="5"/>
                <c:pt idx="0">
                  <c:v>16.998011928429424</c:v>
                </c:pt>
                <c:pt idx="1">
                  <c:v>23.260437375745514</c:v>
                </c:pt>
                <c:pt idx="2">
                  <c:v>25.248508946322058</c:v>
                </c:pt>
                <c:pt idx="3">
                  <c:v>32.703777335984107</c:v>
                </c:pt>
                <c:pt idx="4">
                  <c:v>1.7892644135188862</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txPr>
    <a:bodyPr/>
    <a:lstStyle/>
    <a:p>
      <a:pPr>
        <a:defRPr sz="1800"/>
      </a:pPr>
      <a:endParaRPr lang="el-G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Φύλλο1!$B$1</c:f>
              <c:strCache>
                <c:ptCount val="1"/>
                <c:pt idx="0">
                  <c:v>Σειρά 1</c:v>
                </c:pt>
              </c:strCache>
            </c:strRef>
          </c:tx>
          <c:spPr>
            <a:solidFill>
              <a:schemeClr val="accent3">
                <a:lumMod val="60000"/>
                <a:lumOff val="40000"/>
              </a:schemeClr>
            </a:solidFill>
          </c:spPr>
          <c:invertIfNegative val="0"/>
          <c:dPt>
            <c:idx val="1"/>
            <c:invertIfNegative val="0"/>
            <c:bubble3D val="0"/>
            <c:spPr>
              <a:solidFill>
                <a:schemeClr val="accent4">
                  <a:lumMod val="40000"/>
                  <a:lumOff val="60000"/>
                </a:schemeClr>
              </a:solidFill>
            </c:spPr>
          </c:dPt>
          <c:dPt>
            <c:idx val="3"/>
            <c:invertIfNegative val="0"/>
            <c:bubble3D val="0"/>
            <c:spPr>
              <a:solidFill>
                <a:schemeClr val="accent4">
                  <a:lumMod val="40000"/>
                  <a:lumOff val="60000"/>
                </a:schemeClr>
              </a:solidFill>
            </c:spPr>
          </c:dPt>
          <c:dPt>
            <c:idx val="5"/>
            <c:invertIfNegative val="0"/>
            <c:bubble3D val="0"/>
            <c:spPr>
              <a:solidFill>
                <a:schemeClr val="accent4">
                  <a:lumMod val="40000"/>
                  <a:lumOff val="60000"/>
                </a:schemeClr>
              </a:solidFill>
            </c:spPr>
          </c:dPt>
          <c:dPt>
            <c:idx val="7"/>
            <c:invertIfNegative val="0"/>
            <c:bubble3D val="0"/>
            <c:spPr>
              <a:solidFill>
                <a:schemeClr val="accent4">
                  <a:lumMod val="40000"/>
                  <a:lumOff val="60000"/>
                </a:schemeClr>
              </a:solidFill>
            </c:spPr>
          </c:dPt>
          <c:dPt>
            <c:idx val="9"/>
            <c:invertIfNegative val="0"/>
            <c:bubble3D val="0"/>
            <c:spPr>
              <a:solidFill>
                <a:schemeClr val="accent4">
                  <a:lumMod val="40000"/>
                  <a:lumOff val="60000"/>
                </a:schemeClr>
              </a:solidFill>
            </c:spPr>
          </c:dPt>
          <c:dPt>
            <c:idx val="11"/>
            <c:invertIfNegative val="0"/>
            <c:bubble3D val="0"/>
            <c:spPr>
              <a:solidFill>
                <a:schemeClr val="accent4">
                  <a:lumMod val="40000"/>
                  <a:lumOff val="60000"/>
                </a:schemeClr>
              </a:solidFill>
            </c:spPr>
          </c:dPt>
          <c:dPt>
            <c:idx val="13"/>
            <c:invertIfNegative val="0"/>
            <c:bubble3D val="0"/>
            <c:spPr>
              <a:solidFill>
                <a:schemeClr val="accent4">
                  <a:lumMod val="40000"/>
                  <a:lumOff val="60000"/>
                </a:schemeClr>
              </a:solidFill>
            </c:spPr>
          </c:dPt>
          <c:dLbls>
            <c:txPr>
              <a:bodyPr/>
              <a:lstStyle/>
              <a:p>
                <a:pPr>
                  <a:defRPr sz="900">
                    <a:latin typeface="Calibri" panose="020F0502020204030204" pitchFamily="34" charset="0"/>
                  </a:defRPr>
                </a:pPr>
                <a:endParaRPr lang="el-GR"/>
              </a:p>
            </c:txPr>
            <c:showLegendKey val="0"/>
            <c:showVal val="1"/>
            <c:showCatName val="0"/>
            <c:showSerName val="0"/>
            <c:showPercent val="0"/>
            <c:showBubbleSize val="0"/>
            <c:showLeaderLines val="0"/>
          </c:dLbls>
          <c:cat>
            <c:strRef>
              <c:f>Φύλλο1!$A$2:$A$15</c:f>
              <c:strCache>
                <c:ptCount val="14"/>
                <c:pt idx="0">
                  <c:v>ΙΟΥΛ. 2010</c:v>
                </c:pt>
                <c:pt idx="1">
                  <c:v>ΙΑΝ. 2011</c:v>
                </c:pt>
                <c:pt idx="2">
                  <c:v>ΙΟΥΛ. 2011</c:v>
                </c:pt>
                <c:pt idx="3">
                  <c:v>ΙΑΝ. 2012</c:v>
                </c:pt>
                <c:pt idx="4">
                  <c:v>ΙΟΥΛ. 2012</c:v>
                </c:pt>
                <c:pt idx="5">
                  <c:v>ΙΑΝ. 2013</c:v>
                </c:pt>
                <c:pt idx="6">
                  <c:v>ΙΟΥΛ. 2013</c:v>
                </c:pt>
                <c:pt idx="7">
                  <c:v>ΦΕΒΡ. 2014</c:v>
                </c:pt>
                <c:pt idx="8">
                  <c:v>ΙΟΥΛ. 2014</c:v>
                </c:pt>
                <c:pt idx="9">
                  <c:v>ΦΕΒΡ. 2015</c:v>
                </c:pt>
                <c:pt idx="10">
                  <c:v>ΙΟΥΛ. 2015</c:v>
                </c:pt>
                <c:pt idx="11">
                  <c:v>ΦΕΒΡ. 2016</c:v>
                </c:pt>
                <c:pt idx="12">
                  <c:v>ΙΟΥΛ. 2016</c:v>
                </c:pt>
                <c:pt idx="13">
                  <c:v>ΦΕΒΡ. 2017</c:v>
                </c:pt>
              </c:strCache>
            </c:strRef>
          </c:cat>
          <c:val>
            <c:numRef>
              <c:f>Φύλλο1!$B$2:$B$15</c:f>
              <c:numCache>
                <c:formatCode>General</c:formatCode>
                <c:ptCount val="14"/>
                <c:pt idx="0">
                  <c:v>44.4</c:v>
                </c:pt>
                <c:pt idx="1">
                  <c:v>52.7</c:v>
                </c:pt>
                <c:pt idx="2">
                  <c:v>44.5</c:v>
                </c:pt>
                <c:pt idx="3">
                  <c:v>51.2</c:v>
                </c:pt>
                <c:pt idx="4">
                  <c:v>53.3</c:v>
                </c:pt>
                <c:pt idx="5">
                  <c:v>49.6</c:v>
                </c:pt>
                <c:pt idx="6">
                  <c:v>51.2</c:v>
                </c:pt>
                <c:pt idx="7">
                  <c:v>47.1</c:v>
                </c:pt>
                <c:pt idx="8">
                  <c:v>47.8</c:v>
                </c:pt>
                <c:pt idx="9">
                  <c:v>32.9</c:v>
                </c:pt>
                <c:pt idx="10">
                  <c:v>46.3</c:v>
                </c:pt>
                <c:pt idx="11">
                  <c:v>52.2</c:v>
                </c:pt>
                <c:pt idx="12">
                  <c:v>42</c:v>
                </c:pt>
                <c:pt idx="13">
                  <c:v>40.300000000000004</c:v>
                </c:pt>
              </c:numCache>
            </c:numRef>
          </c:val>
        </c:ser>
        <c:dLbls>
          <c:showLegendKey val="0"/>
          <c:showVal val="0"/>
          <c:showCatName val="0"/>
          <c:showSerName val="0"/>
          <c:showPercent val="0"/>
          <c:showBubbleSize val="0"/>
        </c:dLbls>
        <c:gapWidth val="75"/>
        <c:axId val="106625280"/>
        <c:axId val="108072960"/>
      </c:barChart>
      <c:catAx>
        <c:axId val="106625280"/>
        <c:scaling>
          <c:orientation val="minMax"/>
        </c:scaling>
        <c:delete val="0"/>
        <c:axPos val="b"/>
        <c:majorTickMark val="out"/>
        <c:minorTickMark val="none"/>
        <c:tickLblPos val="nextTo"/>
        <c:txPr>
          <a:bodyPr rot="-1800000"/>
          <a:lstStyle/>
          <a:p>
            <a:pPr>
              <a:defRPr sz="900">
                <a:latin typeface="Calibri" panose="020F0502020204030204" pitchFamily="34" charset="0"/>
              </a:defRPr>
            </a:pPr>
            <a:endParaRPr lang="el-GR"/>
          </a:p>
        </c:txPr>
        <c:crossAx val="108072960"/>
        <c:crosses val="autoZero"/>
        <c:auto val="1"/>
        <c:lblAlgn val="ctr"/>
        <c:lblOffset val="100"/>
        <c:noMultiLvlLbl val="0"/>
      </c:catAx>
      <c:valAx>
        <c:axId val="108072960"/>
        <c:scaling>
          <c:orientation val="minMax"/>
        </c:scaling>
        <c:delete val="0"/>
        <c:axPos val="l"/>
        <c:majorGridlines/>
        <c:numFmt formatCode="General" sourceLinked="1"/>
        <c:majorTickMark val="out"/>
        <c:minorTickMark val="none"/>
        <c:tickLblPos val="nextTo"/>
        <c:txPr>
          <a:bodyPr/>
          <a:lstStyle/>
          <a:p>
            <a:pPr>
              <a:defRPr sz="900">
                <a:latin typeface="Calibri" panose="020F0502020204030204" pitchFamily="34" charset="0"/>
              </a:defRPr>
            </a:pPr>
            <a:endParaRPr lang="el-GR"/>
          </a:p>
        </c:txPr>
        <c:crossAx val="106625280"/>
        <c:crosses val="autoZero"/>
        <c:crossBetween val="between"/>
      </c:valAx>
    </c:plotArea>
    <c:plotVisOnly val="1"/>
    <c:dispBlanksAs val="gap"/>
    <c:showDLblsOverMax val="0"/>
  </c:chart>
  <c:txPr>
    <a:bodyPr/>
    <a:lstStyle/>
    <a:p>
      <a:pPr>
        <a:defRPr sz="1800"/>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869527883955173E-2"/>
          <c:y val="7.4548702245552628E-2"/>
          <c:w val="0.7925250835232257"/>
          <c:h val="0.51828742366800107"/>
        </c:manualLayout>
      </c:layout>
      <c:lineChart>
        <c:grouping val="standard"/>
        <c:varyColors val="0"/>
        <c:ser>
          <c:idx val="0"/>
          <c:order val="0"/>
          <c:tx>
            <c:strRef>
              <c:f>'1 (10)'!$K$3</c:f>
              <c:strCache>
                <c:ptCount val="1"/>
                <c:pt idx="0">
                  <c:v>ΠΛΗΡΗΣ</c:v>
                </c:pt>
              </c:strCache>
            </c:strRef>
          </c:tx>
          <c:spPr>
            <a:ln w="0">
              <a:noFill/>
            </a:ln>
          </c:spPr>
          <c:marker>
            <c:symbol val="none"/>
          </c:marker>
          <c:trendline>
            <c:spPr>
              <a:ln w="12700">
                <a:solidFill>
                  <a:schemeClr val="tx2"/>
                </a:solidFill>
              </a:ln>
              <a:effectLst>
                <a:outerShdw blurRad="50800" dist="50800" dir="5400000" algn="ctr" rotWithShape="0">
                  <a:schemeClr val="bg1"/>
                </a:outerShdw>
              </a:effectLst>
            </c:spPr>
            <c:trendlineType val="poly"/>
            <c:order val="2"/>
            <c:dispRSqr val="0"/>
            <c:dispEq val="0"/>
          </c:trendline>
          <c:cat>
            <c:numRef>
              <c:f>'1 (10)'!$J$4:$J$49</c:f>
              <c:numCache>
                <c:formatCode>mmm\-yy</c:formatCode>
                <c:ptCount val="46"/>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pt idx="14">
                  <c:v>41760</c:v>
                </c:pt>
                <c:pt idx="15">
                  <c:v>41791</c:v>
                </c:pt>
                <c:pt idx="16">
                  <c:v>41821</c:v>
                </c:pt>
                <c:pt idx="17">
                  <c:v>41852</c:v>
                </c:pt>
                <c:pt idx="18">
                  <c:v>41883</c:v>
                </c:pt>
                <c:pt idx="19">
                  <c:v>41913</c:v>
                </c:pt>
                <c:pt idx="20">
                  <c:v>41944</c:v>
                </c:pt>
                <c:pt idx="21">
                  <c:v>41974</c:v>
                </c:pt>
                <c:pt idx="22">
                  <c:v>42005</c:v>
                </c:pt>
                <c:pt idx="23">
                  <c:v>42036</c:v>
                </c:pt>
                <c:pt idx="24">
                  <c:v>42064</c:v>
                </c:pt>
                <c:pt idx="25">
                  <c:v>42095</c:v>
                </c:pt>
                <c:pt idx="26">
                  <c:v>42125</c:v>
                </c:pt>
                <c:pt idx="27">
                  <c:v>42156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42583</c:v>
                </c:pt>
                <c:pt idx="40">
                  <c:v>42614</c:v>
                </c:pt>
                <c:pt idx="41">
                  <c:v>42644</c:v>
                </c:pt>
                <c:pt idx="42">
                  <c:v>42675</c:v>
                </c:pt>
                <c:pt idx="43">
                  <c:v>42705</c:v>
                </c:pt>
                <c:pt idx="44">
                  <c:v>42736</c:v>
                </c:pt>
                <c:pt idx="45">
                  <c:v>42767</c:v>
                </c:pt>
              </c:numCache>
            </c:numRef>
          </c:cat>
          <c:val>
            <c:numRef>
              <c:f>'1 (10)'!$K$4:$K$49</c:f>
              <c:numCache>
                <c:formatCode>General</c:formatCode>
                <c:ptCount val="46"/>
                <c:pt idx="0">
                  <c:v>0.63304508690414729</c:v>
                </c:pt>
                <c:pt idx="1">
                  <c:v>0.6933135811269896</c:v>
                </c:pt>
                <c:pt idx="2">
                  <c:v>0.66394464781366913</c:v>
                </c:pt>
                <c:pt idx="3">
                  <c:v>0.58324761904761901</c:v>
                </c:pt>
                <c:pt idx="4">
                  <c:v>0.61033277851875534</c:v>
                </c:pt>
                <c:pt idx="5">
                  <c:v>0.58240352204718993</c:v>
                </c:pt>
                <c:pt idx="6">
                  <c:v>0.35883301232316767</c:v>
                </c:pt>
                <c:pt idx="7">
                  <c:v>0.43034362175596785</c:v>
                </c:pt>
                <c:pt idx="8">
                  <c:v>0.46678150609532354</c:v>
                </c:pt>
                <c:pt idx="9">
                  <c:v>0.57027969798810529</c:v>
                </c:pt>
                <c:pt idx="10">
                  <c:v>0.54465165007857519</c:v>
                </c:pt>
                <c:pt idx="11">
                  <c:v>0.47699408309909991</c:v>
                </c:pt>
                <c:pt idx="12">
                  <c:v>0.52130328584533425</c:v>
                </c:pt>
                <c:pt idx="13">
                  <c:v>0.61459962143033497</c:v>
                </c:pt>
                <c:pt idx="14">
                  <c:v>0.57104848423108956</c:v>
                </c:pt>
                <c:pt idx="15">
                  <c:v>0.49490672124591245</c:v>
                </c:pt>
                <c:pt idx="16">
                  <c:v>0.48217862707068138</c:v>
                </c:pt>
                <c:pt idx="17">
                  <c:v>0.50740214966538233</c:v>
                </c:pt>
                <c:pt idx="18">
                  <c:v>0.42249805770863824</c:v>
                </c:pt>
                <c:pt idx="19">
                  <c:v>0.4061147508437562</c:v>
                </c:pt>
                <c:pt idx="20">
                  <c:v>0.44771668219944083</c:v>
                </c:pt>
                <c:pt idx="21">
                  <c:v>0.45969195051803596</c:v>
                </c:pt>
                <c:pt idx="22">
                  <c:v>0.50231010903714657</c:v>
                </c:pt>
                <c:pt idx="23">
                  <c:v>0.46755181809831914</c:v>
                </c:pt>
                <c:pt idx="24">
                  <c:v>0.51684967496379131</c:v>
                </c:pt>
                <c:pt idx="25">
                  <c:v>0.56773684972570637</c:v>
                </c:pt>
                <c:pt idx="26">
                  <c:v>0.51683634613677454</c:v>
                </c:pt>
                <c:pt idx="27">
                  <c:v>0.46343907556446312</c:v>
                </c:pt>
                <c:pt idx="28">
                  <c:v>0.47265628238180901</c:v>
                </c:pt>
                <c:pt idx="29">
                  <c:v>0.38152017004444344</c:v>
                </c:pt>
                <c:pt idx="30">
                  <c:v>0.41235190813546974</c:v>
                </c:pt>
                <c:pt idx="31">
                  <c:v>0.43985914797225301</c:v>
                </c:pt>
                <c:pt idx="32">
                  <c:v>0.42754406151773688</c:v>
                </c:pt>
                <c:pt idx="33">
                  <c:v>0.4669924880079645</c:v>
                </c:pt>
                <c:pt idx="34">
                  <c:v>0.44121225434698119</c:v>
                </c:pt>
                <c:pt idx="35">
                  <c:v>0.45834339855597606</c:v>
                </c:pt>
                <c:pt idx="36">
                  <c:v>0.55311001226902623</c:v>
                </c:pt>
                <c:pt idx="37">
                  <c:v>0.51054921741389392</c:v>
                </c:pt>
                <c:pt idx="38">
                  <c:v>0.4429672792843935</c:v>
                </c:pt>
                <c:pt idx="39">
                  <c:v>0.46671826104512265</c:v>
                </c:pt>
                <c:pt idx="40">
                  <c:v>0.38902766935553823</c:v>
                </c:pt>
                <c:pt idx="41">
                  <c:v>0.38321633180020981</c:v>
                </c:pt>
                <c:pt idx="42">
                  <c:v>0.42615878260317058</c:v>
                </c:pt>
                <c:pt idx="43">
                  <c:v>0.41845219678217821</c:v>
                </c:pt>
                <c:pt idx="44">
                  <c:v>0.46492122591916268</c:v>
                </c:pt>
                <c:pt idx="45">
                  <c:v>0.43239391791206727</c:v>
                </c:pt>
              </c:numCache>
            </c:numRef>
          </c:val>
          <c:smooth val="0"/>
        </c:ser>
        <c:ser>
          <c:idx val="1"/>
          <c:order val="1"/>
          <c:tx>
            <c:strRef>
              <c:f>'1 (10)'!$L$3</c:f>
              <c:strCache>
                <c:ptCount val="1"/>
                <c:pt idx="0">
                  <c:v>ΕΛΑΣΤΙΚΕΣ ΜΟΡΦΕΣ</c:v>
                </c:pt>
              </c:strCache>
            </c:strRef>
          </c:tx>
          <c:spPr>
            <a:ln>
              <a:noFill/>
            </a:ln>
          </c:spPr>
          <c:marker>
            <c:symbol val="none"/>
          </c:marker>
          <c:trendline>
            <c:spPr>
              <a:ln w="19050">
                <a:solidFill>
                  <a:schemeClr val="accent2"/>
                </a:solidFill>
              </a:ln>
            </c:spPr>
            <c:trendlineType val="poly"/>
            <c:order val="2"/>
            <c:dispRSqr val="0"/>
            <c:dispEq val="0"/>
          </c:trendline>
          <c:cat>
            <c:numRef>
              <c:f>'1 (10)'!$J$4:$J$49</c:f>
              <c:numCache>
                <c:formatCode>mmm\-yy</c:formatCode>
                <c:ptCount val="46"/>
                <c:pt idx="0">
                  <c:v>41334</c:v>
                </c:pt>
                <c:pt idx="1">
                  <c:v>41365</c:v>
                </c:pt>
                <c:pt idx="2">
                  <c:v>41395</c:v>
                </c:pt>
                <c:pt idx="3">
                  <c:v>41426</c:v>
                </c:pt>
                <c:pt idx="4">
                  <c:v>41456</c:v>
                </c:pt>
                <c:pt idx="5">
                  <c:v>41487</c:v>
                </c:pt>
                <c:pt idx="6">
                  <c:v>41518</c:v>
                </c:pt>
                <c:pt idx="7">
                  <c:v>41548</c:v>
                </c:pt>
                <c:pt idx="8">
                  <c:v>41579</c:v>
                </c:pt>
                <c:pt idx="9">
                  <c:v>41609</c:v>
                </c:pt>
                <c:pt idx="10">
                  <c:v>41640</c:v>
                </c:pt>
                <c:pt idx="11">
                  <c:v>41671</c:v>
                </c:pt>
                <c:pt idx="12">
                  <c:v>41699</c:v>
                </c:pt>
                <c:pt idx="13">
                  <c:v>41730</c:v>
                </c:pt>
                <c:pt idx="14">
                  <c:v>41760</c:v>
                </c:pt>
                <c:pt idx="15">
                  <c:v>41791</c:v>
                </c:pt>
                <c:pt idx="16">
                  <c:v>41821</c:v>
                </c:pt>
                <c:pt idx="17">
                  <c:v>41852</c:v>
                </c:pt>
                <c:pt idx="18">
                  <c:v>41883</c:v>
                </c:pt>
                <c:pt idx="19">
                  <c:v>41913</c:v>
                </c:pt>
                <c:pt idx="20">
                  <c:v>41944</c:v>
                </c:pt>
                <c:pt idx="21">
                  <c:v>41974</c:v>
                </c:pt>
                <c:pt idx="22">
                  <c:v>42005</c:v>
                </c:pt>
                <c:pt idx="23">
                  <c:v>42036</c:v>
                </c:pt>
                <c:pt idx="24">
                  <c:v>42064</c:v>
                </c:pt>
                <c:pt idx="25">
                  <c:v>42095</c:v>
                </c:pt>
                <c:pt idx="26">
                  <c:v>42125</c:v>
                </c:pt>
                <c:pt idx="27">
                  <c:v>42156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42583</c:v>
                </c:pt>
                <c:pt idx="40">
                  <c:v>42614</c:v>
                </c:pt>
                <c:pt idx="41">
                  <c:v>42644</c:v>
                </c:pt>
                <c:pt idx="42">
                  <c:v>42675</c:v>
                </c:pt>
                <c:pt idx="43">
                  <c:v>42705</c:v>
                </c:pt>
                <c:pt idx="44">
                  <c:v>42736</c:v>
                </c:pt>
                <c:pt idx="45">
                  <c:v>42767</c:v>
                </c:pt>
              </c:numCache>
            </c:numRef>
          </c:cat>
          <c:val>
            <c:numRef>
              <c:f>'1 (10)'!$L$4:$L$49</c:f>
              <c:numCache>
                <c:formatCode>General</c:formatCode>
                <c:ptCount val="46"/>
                <c:pt idx="0">
                  <c:v>0.36695491309585271</c:v>
                </c:pt>
                <c:pt idx="1">
                  <c:v>0.3066864188730104</c:v>
                </c:pt>
                <c:pt idx="2">
                  <c:v>0.33605535218633092</c:v>
                </c:pt>
                <c:pt idx="3">
                  <c:v>0.41675238095238093</c:v>
                </c:pt>
                <c:pt idx="4">
                  <c:v>0.38966722148124472</c:v>
                </c:pt>
                <c:pt idx="5">
                  <c:v>0.41759647795281007</c:v>
                </c:pt>
                <c:pt idx="6">
                  <c:v>0.64116698767683233</c:v>
                </c:pt>
                <c:pt idx="7">
                  <c:v>0.56965637824403215</c:v>
                </c:pt>
                <c:pt idx="8">
                  <c:v>0.53321849390467646</c:v>
                </c:pt>
                <c:pt idx="9">
                  <c:v>0.42972030201189471</c:v>
                </c:pt>
                <c:pt idx="10">
                  <c:v>0.45534834992142481</c:v>
                </c:pt>
                <c:pt idx="11">
                  <c:v>0.52300591690090015</c:v>
                </c:pt>
                <c:pt idx="12">
                  <c:v>0.47869671415466575</c:v>
                </c:pt>
                <c:pt idx="13">
                  <c:v>0.38540037856966503</c:v>
                </c:pt>
                <c:pt idx="14">
                  <c:v>0.42895151576891039</c:v>
                </c:pt>
                <c:pt idx="15">
                  <c:v>0.5050932787540876</c:v>
                </c:pt>
                <c:pt idx="16">
                  <c:v>0.51782137292931862</c:v>
                </c:pt>
                <c:pt idx="17">
                  <c:v>0.49259785033461773</c:v>
                </c:pt>
                <c:pt idx="18">
                  <c:v>0.57750194229136176</c:v>
                </c:pt>
                <c:pt idx="19">
                  <c:v>0.59388524915624374</c:v>
                </c:pt>
                <c:pt idx="20">
                  <c:v>0.55228331780055917</c:v>
                </c:pt>
                <c:pt idx="21">
                  <c:v>0.54030804948196398</c:v>
                </c:pt>
                <c:pt idx="22">
                  <c:v>0.56291649907052088</c:v>
                </c:pt>
                <c:pt idx="23">
                  <c:v>0.53244818190168086</c:v>
                </c:pt>
                <c:pt idx="24">
                  <c:v>0.48315032503620869</c:v>
                </c:pt>
                <c:pt idx="25">
                  <c:v>0.43226315027429363</c:v>
                </c:pt>
                <c:pt idx="26">
                  <c:v>0.48316365386322541</c:v>
                </c:pt>
                <c:pt idx="27">
                  <c:v>0.53656092443553693</c:v>
                </c:pt>
                <c:pt idx="28">
                  <c:v>0.52734371761819099</c:v>
                </c:pt>
                <c:pt idx="29">
                  <c:v>0.61847982995555661</c:v>
                </c:pt>
                <c:pt idx="30">
                  <c:v>0.58764809186453026</c:v>
                </c:pt>
                <c:pt idx="31">
                  <c:v>0.56014085202774699</c:v>
                </c:pt>
                <c:pt idx="32">
                  <c:v>0.57245593848226317</c:v>
                </c:pt>
                <c:pt idx="33">
                  <c:v>0.53300751199203544</c:v>
                </c:pt>
                <c:pt idx="34">
                  <c:v>0.55878774565301881</c:v>
                </c:pt>
                <c:pt idx="35">
                  <c:v>0.54165660144402394</c:v>
                </c:pt>
                <c:pt idx="36">
                  <c:v>0.44688998773097371</c:v>
                </c:pt>
                <c:pt idx="37">
                  <c:v>0.48945078258610614</c:v>
                </c:pt>
                <c:pt idx="38">
                  <c:v>0.5570327207156065</c:v>
                </c:pt>
                <c:pt idx="39">
                  <c:v>0.5332817389548774</c:v>
                </c:pt>
                <c:pt idx="40">
                  <c:v>0.61097233064446177</c:v>
                </c:pt>
                <c:pt idx="41">
                  <c:v>0.61678366819979025</c:v>
                </c:pt>
                <c:pt idx="42">
                  <c:v>0.57384121739682947</c:v>
                </c:pt>
                <c:pt idx="43">
                  <c:v>0.58154780321782173</c:v>
                </c:pt>
                <c:pt idx="44">
                  <c:v>0.53507877408083726</c:v>
                </c:pt>
                <c:pt idx="45">
                  <c:v>0.56760608208793273</c:v>
                </c:pt>
              </c:numCache>
            </c:numRef>
          </c:val>
          <c:smooth val="0"/>
        </c:ser>
        <c:dLbls>
          <c:showLegendKey val="0"/>
          <c:showVal val="0"/>
          <c:showCatName val="0"/>
          <c:showSerName val="0"/>
          <c:showPercent val="0"/>
          <c:showBubbleSize val="0"/>
        </c:dLbls>
        <c:marker val="1"/>
        <c:smooth val="0"/>
        <c:axId val="108108800"/>
        <c:axId val="108126976"/>
      </c:lineChart>
      <c:dateAx>
        <c:axId val="108108800"/>
        <c:scaling>
          <c:orientation val="minMax"/>
        </c:scaling>
        <c:delete val="0"/>
        <c:axPos val="b"/>
        <c:numFmt formatCode="mmm\-yy" sourceLinked="1"/>
        <c:majorTickMark val="out"/>
        <c:minorTickMark val="none"/>
        <c:tickLblPos val="nextTo"/>
        <c:txPr>
          <a:bodyPr rot="-1800000"/>
          <a:lstStyle/>
          <a:p>
            <a:pPr>
              <a:defRPr/>
            </a:pPr>
            <a:endParaRPr lang="el-GR"/>
          </a:p>
        </c:txPr>
        <c:crossAx val="108126976"/>
        <c:crosses val="autoZero"/>
        <c:auto val="1"/>
        <c:lblOffset val="100"/>
        <c:baseTimeUnit val="months"/>
      </c:dateAx>
      <c:valAx>
        <c:axId val="108126976"/>
        <c:scaling>
          <c:orientation val="minMax"/>
        </c:scaling>
        <c:delete val="0"/>
        <c:axPos val="l"/>
        <c:majorGridlines/>
        <c:numFmt formatCode="General" sourceLinked="1"/>
        <c:majorTickMark val="out"/>
        <c:minorTickMark val="none"/>
        <c:tickLblPos val="nextTo"/>
        <c:crossAx val="108108800"/>
        <c:crosses val="autoZero"/>
        <c:crossBetween val="between"/>
      </c:valAx>
    </c:plotArea>
    <c:legend>
      <c:legendPos val="b"/>
      <c:legendEntry>
        <c:idx val="0"/>
        <c:txPr>
          <a:bodyPr/>
          <a:lstStyle/>
          <a:p>
            <a:pPr>
              <a:defRPr sz="1010" b="1" i="0" baseline="0">
                <a:solidFill>
                  <a:schemeClr val="tx2"/>
                </a:solidFill>
              </a:defRPr>
            </a:pPr>
            <a:endParaRPr lang="el-GR"/>
          </a:p>
        </c:txPr>
      </c:legendEntry>
      <c:legendEntry>
        <c:idx val="1"/>
        <c:txPr>
          <a:bodyPr/>
          <a:lstStyle/>
          <a:p>
            <a:pPr>
              <a:defRPr sz="1000" b="1" i="0" baseline="0">
                <a:solidFill>
                  <a:schemeClr val="accent2"/>
                </a:solidFill>
              </a:defRPr>
            </a:pPr>
            <a:endParaRPr lang="el-GR"/>
          </a:p>
        </c:txPr>
      </c:legendEntry>
      <c:legendEntry>
        <c:idx val="2"/>
        <c:delete val="1"/>
      </c:legendEntry>
      <c:legendEntry>
        <c:idx val="3"/>
        <c:delete val="1"/>
      </c:legendEntry>
      <c:layout>
        <c:manualLayout>
          <c:xMode val="edge"/>
          <c:yMode val="edge"/>
          <c:x val="0.32494455259513227"/>
          <c:y val="0.90542260166917332"/>
          <c:w val="0.35011089480973551"/>
          <c:h val="6.6487510690377172E-2"/>
        </c:manualLayout>
      </c:layout>
      <c:overlay val="0"/>
      <c:spPr>
        <a:ln w="3175">
          <a:solidFill>
            <a:schemeClr val="tx1"/>
          </a:solidFill>
        </a:ln>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25000000000001"/>
          <c:y val="0.14687500000000001"/>
          <c:w val="0.53749999999999998"/>
          <c:h val="0.80625000000000002"/>
        </c:manualLayout>
      </c:layout>
      <c:doughnutChart>
        <c:varyColors val="1"/>
        <c:ser>
          <c:idx val="0"/>
          <c:order val="0"/>
          <c:tx>
            <c:strRef>
              <c:f>Φύλλο1!$B$1</c:f>
              <c:strCache>
                <c:ptCount val="1"/>
                <c:pt idx="0">
                  <c:v>Πωλήσεις</c:v>
                </c:pt>
              </c:strCache>
            </c:strRef>
          </c:tx>
          <c:spPr>
            <a:ln>
              <a:solidFill>
                <a:schemeClr val="bg1"/>
              </a:solidFill>
            </a:ln>
          </c:spPr>
          <c:dPt>
            <c:idx val="0"/>
            <c:bubble3D val="0"/>
            <c:spPr>
              <a:solidFill>
                <a:schemeClr val="accent3">
                  <a:lumMod val="50000"/>
                </a:schemeClr>
              </a:solidFill>
              <a:ln>
                <a:solidFill>
                  <a:schemeClr val="bg1"/>
                </a:solidFill>
              </a:ln>
            </c:spPr>
          </c:dPt>
          <c:dPt>
            <c:idx val="1"/>
            <c:bubble3D val="0"/>
            <c:spPr>
              <a:solidFill>
                <a:schemeClr val="accent2">
                  <a:lumMod val="75000"/>
                </a:schemeClr>
              </a:solidFill>
              <a:ln>
                <a:solidFill>
                  <a:schemeClr val="bg1"/>
                </a:solidFill>
              </a:ln>
            </c:spPr>
          </c:dPt>
          <c:dPt>
            <c:idx val="2"/>
            <c:bubble3D val="0"/>
            <c:spPr>
              <a:solidFill>
                <a:schemeClr val="tx1">
                  <a:lumMod val="50000"/>
                  <a:lumOff val="50000"/>
                </a:schemeClr>
              </a:solidFill>
              <a:ln>
                <a:solidFill>
                  <a:schemeClr val="bg1"/>
                </a:solidFill>
              </a:ln>
            </c:spPr>
          </c:dPt>
          <c:dLbls>
            <c:dLbl>
              <c:idx val="0"/>
              <c:layout>
                <c:manualLayout>
                  <c:x val="4.7916666666666809E-2"/>
                  <c:y val="-0.21547391732283477"/>
                </c:manualLayout>
              </c:layout>
              <c:showLegendKey val="0"/>
              <c:showVal val="1"/>
              <c:showCatName val="1"/>
              <c:showSerName val="0"/>
              <c:showPercent val="0"/>
              <c:showBubbleSize val="0"/>
              <c:separator>
</c:separator>
            </c:dLbl>
            <c:dLbl>
              <c:idx val="1"/>
              <c:layout>
                <c:manualLayout>
                  <c:x val="-0.18541666666666684"/>
                  <c:y val="-0.16875024606299233"/>
                </c:manualLayout>
              </c:layout>
              <c:showLegendKey val="0"/>
              <c:showVal val="1"/>
              <c:showCatName val="1"/>
              <c:showSerName val="0"/>
              <c:showPercent val="0"/>
              <c:showBubbleSize val="0"/>
              <c:separator>
</c:separator>
            </c:dLbl>
            <c:dLbl>
              <c:idx val="2"/>
              <c:layout>
                <c:manualLayout>
                  <c:x val="-1.0416666666666666E-2"/>
                  <c:y val="-0.15625000000000028"/>
                </c:manualLayout>
              </c:layout>
              <c:showLegendKey val="0"/>
              <c:showVal val="1"/>
              <c:showCatName val="1"/>
              <c:showSerName val="0"/>
              <c:showPercent val="0"/>
              <c:showBubbleSize val="0"/>
              <c:separator>
</c:separator>
            </c:dLbl>
            <c:dLbl>
              <c:idx val="3"/>
              <c:layout>
                <c:manualLayout>
                  <c:x val="-9.1666666666667243E-2"/>
                  <c:y val="-0.14375000000000004"/>
                </c:manualLayout>
              </c:layout>
              <c:showLegendKey val="0"/>
              <c:showVal val="1"/>
              <c:showCatName val="1"/>
              <c:showSerName val="0"/>
              <c:showPercent val="0"/>
              <c:showBubbleSize val="0"/>
              <c:separator>
</c:separator>
            </c:dLbl>
            <c:txPr>
              <a:bodyPr/>
              <a:lstStyle/>
              <a:p>
                <a:pPr>
                  <a:defRPr sz="1000">
                    <a:latin typeface="Calibri" panose="020F0502020204030204" pitchFamily="34" charset="0"/>
                  </a:defRPr>
                </a:pPr>
                <a:endParaRPr lang="el-GR"/>
              </a:p>
            </c:txPr>
            <c:showLegendKey val="0"/>
            <c:showVal val="1"/>
            <c:showCatName val="1"/>
            <c:showSerName val="0"/>
            <c:showPercent val="0"/>
            <c:showBubbleSize val="0"/>
            <c:separator>
</c:separator>
            <c:showLeaderLines val="1"/>
          </c:dLbls>
          <c:cat>
            <c:strRef>
              <c:f>Φύλλο1!$A$2:$A$4</c:f>
              <c:strCache>
                <c:ptCount val="3"/>
                <c:pt idx="0">
                  <c:v>Ναι</c:v>
                </c:pt>
                <c:pt idx="1">
                  <c:v>Όχι</c:v>
                </c:pt>
                <c:pt idx="2">
                  <c:v>ΔΑ</c:v>
                </c:pt>
              </c:strCache>
            </c:strRef>
          </c:cat>
          <c:val>
            <c:numRef>
              <c:f>Φύλλο1!$B$2:$B$4</c:f>
              <c:numCache>
                <c:formatCode>General</c:formatCode>
                <c:ptCount val="3"/>
                <c:pt idx="0">
                  <c:v>50.2</c:v>
                </c:pt>
                <c:pt idx="1">
                  <c:v>49.6</c:v>
                </c:pt>
                <c:pt idx="2">
                  <c:v>0.2</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txPr>
    <a:bodyPr/>
    <a:lstStyle/>
    <a:p>
      <a:pPr>
        <a:defRPr sz="1800"/>
      </a:pPr>
      <a:endParaRPr lang="el-G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25000000000001"/>
          <c:y val="0.14687500000000001"/>
          <c:w val="0.53749999999999998"/>
          <c:h val="0.80625000000000002"/>
        </c:manualLayout>
      </c:layout>
      <c:doughnutChart>
        <c:varyColors val="1"/>
        <c:ser>
          <c:idx val="0"/>
          <c:order val="0"/>
          <c:tx>
            <c:strRef>
              <c:f>Φύλλο1!$B$1</c:f>
              <c:strCache>
                <c:ptCount val="1"/>
                <c:pt idx="0">
                  <c:v>Πωλήσεις</c:v>
                </c:pt>
              </c:strCache>
            </c:strRef>
          </c:tx>
          <c:spPr>
            <a:ln>
              <a:solidFill>
                <a:schemeClr val="bg1"/>
              </a:solidFill>
            </a:ln>
          </c:spPr>
          <c:dPt>
            <c:idx val="0"/>
            <c:bubble3D val="0"/>
            <c:spPr>
              <a:solidFill>
                <a:schemeClr val="accent3">
                  <a:lumMod val="50000"/>
                </a:schemeClr>
              </a:solidFill>
              <a:ln>
                <a:solidFill>
                  <a:schemeClr val="bg1"/>
                </a:solidFill>
              </a:ln>
            </c:spPr>
          </c:dPt>
          <c:dPt>
            <c:idx val="1"/>
            <c:bubble3D val="0"/>
            <c:spPr>
              <a:solidFill>
                <a:schemeClr val="accent2">
                  <a:lumMod val="75000"/>
                </a:schemeClr>
              </a:solidFill>
              <a:ln>
                <a:solidFill>
                  <a:schemeClr val="bg1"/>
                </a:solidFill>
              </a:ln>
            </c:spPr>
          </c:dPt>
          <c:dLbls>
            <c:dLbl>
              <c:idx val="0"/>
              <c:layout>
                <c:manualLayout>
                  <c:x val="6.0581845586133415E-2"/>
                  <c:y val="-0.13062923055670672"/>
                </c:manualLayout>
              </c:layout>
              <c:showLegendKey val="0"/>
              <c:showVal val="1"/>
              <c:showCatName val="1"/>
              <c:showSerName val="0"/>
              <c:showPercent val="0"/>
              <c:showBubbleSize val="0"/>
              <c:separator>
</c:separator>
            </c:dLbl>
            <c:dLbl>
              <c:idx val="1"/>
              <c:layout>
                <c:manualLayout>
                  <c:x val="-7.5000000000000011E-2"/>
                  <c:y val="-0.19062524606299214"/>
                </c:manualLayout>
              </c:layout>
              <c:showLegendKey val="0"/>
              <c:showVal val="1"/>
              <c:showCatName val="1"/>
              <c:showSerName val="0"/>
              <c:showPercent val="0"/>
              <c:showBubbleSize val="0"/>
              <c:separator>
</c:separator>
            </c:dLbl>
            <c:dLbl>
              <c:idx val="2"/>
              <c:layout>
                <c:manualLayout>
                  <c:x val="-1.0416666666666666E-2"/>
                  <c:y val="-0.15625000000000044"/>
                </c:manualLayout>
              </c:layout>
              <c:showLegendKey val="0"/>
              <c:showVal val="1"/>
              <c:showCatName val="1"/>
              <c:showSerName val="0"/>
              <c:showPercent val="0"/>
              <c:showBubbleSize val="0"/>
              <c:separator>
</c:separator>
            </c:dLbl>
            <c:dLbl>
              <c:idx val="3"/>
              <c:layout>
                <c:manualLayout>
                  <c:x val="-9.1666666666667382E-2"/>
                  <c:y val="-0.14375000000000004"/>
                </c:manualLayout>
              </c:layout>
              <c:showLegendKey val="0"/>
              <c:showVal val="1"/>
              <c:showCatName val="1"/>
              <c:showSerName val="0"/>
              <c:showPercent val="0"/>
              <c:showBubbleSize val="0"/>
              <c:separator>
</c:separator>
            </c:dLbl>
            <c:txPr>
              <a:bodyPr/>
              <a:lstStyle/>
              <a:p>
                <a:pPr>
                  <a:defRPr sz="1000">
                    <a:latin typeface="Calibri" panose="020F0502020204030204" pitchFamily="34" charset="0"/>
                  </a:defRPr>
                </a:pPr>
                <a:endParaRPr lang="el-GR"/>
              </a:p>
            </c:txPr>
            <c:showLegendKey val="0"/>
            <c:showVal val="1"/>
            <c:showCatName val="1"/>
            <c:showSerName val="0"/>
            <c:showPercent val="0"/>
            <c:showBubbleSize val="0"/>
            <c:separator>
</c:separator>
            <c:showLeaderLines val="1"/>
          </c:dLbls>
          <c:cat>
            <c:strRef>
              <c:f>Φύλλο1!$A$2:$A$3</c:f>
              <c:strCache>
                <c:ptCount val="2"/>
                <c:pt idx="0">
                  <c:v>Ναι</c:v>
                </c:pt>
                <c:pt idx="1">
                  <c:v>Όχι</c:v>
                </c:pt>
              </c:strCache>
            </c:strRef>
          </c:cat>
          <c:val>
            <c:numRef>
              <c:f>Φύλλο1!$B$2:$B$3</c:f>
              <c:numCache>
                <c:formatCode>0.0</c:formatCode>
                <c:ptCount val="2"/>
                <c:pt idx="0">
                  <c:v>48.2</c:v>
                </c:pt>
                <c:pt idx="1">
                  <c:v>52.8</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txPr>
    <a:bodyPr/>
    <a:lstStyle/>
    <a:p>
      <a:pPr>
        <a:defRPr sz="1800"/>
      </a:pPr>
      <a:endParaRPr lang="el-G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Φύλλο1!$B$1</c:f>
              <c:strCache>
                <c:ptCount val="1"/>
                <c:pt idx="0">
                  <c:v>Σειρά 1</c:v>
                </c:pt>
              </c:strCache>
            </c:strRef>
          </c:tx>
          <c:spPr>
            <a:solidFill>
              <a:schemeClr val="accent1">
                <a:lumMod val="75000"/>
              </a:schemeClr>
            </a:solidFill>
          </c:spPr>
          <c:invertIfNegative val="0"/>
          <c:dLbls>
            <c:dLbl>
              <c:idx val="4"/>
              <c:spPr/>
              <c:txPr>
                <a:bodyPr/>
                <a:lstStyle/>
                <a:p>
                  <a:pPr algn="ctr">
                    <a:defRPr lang="el-GR" sz="1000" b="0" i="0" u="none" strike="noStrike" kern="1200" baseline="0">
                      <a:solidFill>
                        <a:prstClr val="black"/>
                      </a:solidFill>
                      <a:latin typeface="Calibri" panose="020F0502020204030204" pitchFamily="34" charset="0"/>
                      <a:ea typeface="+mn-ea"/>
                      <a:cs typeface="+mn-cs"/>
                    </a:defRPr>
                  </a:pPr>
                  <a:endParaRPr lang="el-GR"/>
                </a:p>
              </c:txPr>
              <c:showLegendKey val="0"/>
              <c:showVal val="1"/>
              <c:showCatName val="0"/>
              <c:showSerName val="0"/>
              <c:showPercent val="0"/>
              <c:showBubbleSize val="0"/>
            </c:dLbl>
            <c:dLbl>
              <c:idx val="5"/>
              <c:spPr/>
              <c:txPr>
                <a:bodyPr/>
                <a:lstStyle/>
                <a:p>
                  <a:pPr algn="ctr">
                    <a:defRPr lang="el-GR" sz="1000" b="0" i="0" u="none" strike="noStrike" kern="1200" baseline="0">
                      <a:solidFill>
                        <a:prstClr val="black"/>
                      </a:solidFill>
                      <a:latin typeface="Calibri" panose="020F0502020204030204" pitchFamily="34" charset="0"/>
                      <a:ea typeface="+mn-ea"/>
                      <a:cs typeface="+mn-cs"/>
                    </a:defRPr>
                  </a:pPr>
                  <a:endParaRPr lang="el-GR"/>
                </a:p>
              </c:txPr>
              <c:showLegendKey val="0"/>
              <c:showVal val="1"/>
              <c:showCatName val="0"/>
              <c:showSerName val="0"/>
              <c:showPercent val="0"/>
              <c:showBubbleSize val="0"/>
            </c:dLbl>
            <c:txPr>
              <a:bodyPr/>
              <a:lstStyle/>
              <a:p>
                <a:pPr>
                  <a:defRPr sz="1000">
                    <a:latin typeface="Calibri" panose="020F0502020204030204" pitchFamily="34" charset="0"/>
                  </a:defRPr>
                </a:pPr>
                <a:endParaRPr lang="el-GR"/>
              </a:p>
            </c:txPr>
            <c:showLegendKey val="0"/>
            <c:showVal val="1"/>
            <c:showCatName val="0"/>
            <c:showSerName val="0"/>
            <c:showPercent val="0"/>
            <c:showBubbleSize val="0"/>
            <c:showLeaderLines val="0"/>
          </c:dLbls>
          <c:cat>
            <c:strRef>
              <c:f>Φύλλο1!$A$2:$A$4</c:f>
              <c:strCache>
                <c:ptCount val="3"/>
                <c:pt idx="0">
                  <c:v>Θα είναι Εξωτερική συνεργασία (μπλοκάκι)</c:v>
                </c:pt>
                <c:pt idx="1">
                  <c:v>Θα είναι Μερικής απασχόλησης</c:v>
                </c:pt>
                <c:pt idx="2">
                  <c:v>Θα είναι Πλήρους απασχόλησης</c:v>
                </c:pt>
              </c:strCache>
            </c:strRef>
          </c:cat>
          <c:val>
            <c:numRef>
              <c:f>Φύλλο1!$B$2:$B$4</c:f>
              <c:numCache>
                <c:formatCode>0.0</c:formatCode>
                <c:ptCount val="3"/>
                <c:pt idx="0">
                  <c:v>2.1276595744680842</c:v>
                </c:pt>
                <c:pt idx="1">
                  <c:v>36.170212765957451</c:v>
                </c:pt>
                <c:pt idx="2">
                  <c:v>61.702127659574465</c:v>
                </c:pt>
              </c:numCache>
            </c:numRef>
          </c:val>
        </c:ser>
        <c:dLbls>
          <c:showLegendKey val="0"/>
          <c:showVal val="0"/>
          <c:showCatName val="0"/>
          <c:showSerName val="0"/>
          <c:showPercent val="0"/>
          <c:showBubbleSize val="0"/>
        </c:dLbls>
        <c:gapWidth val="72"/>
        <c:axId val="109556480"/>
        <c:axId val="109558016"/>
      </c:barChart>
      <c:catAx>
        <c:axId val="109556480"/>
        <c:scaling>
          <c:orientation val="minMax"/>
        </c:scaling>
        <c:delete val="0"/>
        <c:axPos val="l"/>
        <c:majorTickMark val="out"/>
        <c:minorTickMark val="none"/>
        <c:tickLblPos val="nextTo"/>
        <c:txPr>
          <a:bodyPr/>
          <a:lstStyle/>
          <a:p>
            <a:pPr>
              <a:defRPr sz="900">
                <a:latin typeface="Calibri" panose="020F0502020204030204" pitchFamily="34" charset="0"/>
              </a:defRPr>
            </a:pPr>
            <a:endParaRPr lang="el-GR"/>
          </a:p>
        </c:txPr>
        <c:crossAx val="109558016"/>
        <c:crosses val="autoZero"/>
        <c:auto val="1"/>
        <c:lblAlgn val="ctr"/>
        <c:lblOffset val="100"/>
        <c:noMultiLvlLbl val="0"/>
      </c:catAx>
      <c:valAx>
        <c:axId val="109558016"/>
        <c:scaling>
          <c:orientation val="minMax"/>
          <c:max val="100"/>
        </c:scaling>
        <c:delete val="0"/>
        <c:axPos val="b"/>
        <c:majorGridlines/>
        <c:numFmt formatCode="0.0" sourceLinked="1"/>
        <c:majorTickMark val="out"/>
        <c:minorTickMark val="none"/>
        <c:tickLblPos val="nextTo"/>
        <c:txPr>
          <a:bodyPr/>
          <a:lstStyle/>
          <a:p>
            <a:pPr>
              <a:defRPr sz="1200">
                <a:latin typeface="Calibri" panose="020F0502020204030204" pitchFamily="34" charset="0"/>
              </a:defRPr>
            </a:pPr>
            <a:endParaRPr lang="el-GR"/>
          </a:p>
        </c:txPr>
        <c:crossAx val="109556480"/>
        <c:crosses val="autoZero"/>
        <c:crossBetween val="between"/>
      </c:valAx>
    </c:plotArea>
    <c:plotVisOnly val="1"/>
    <c:dispBlanksAs val="gap"/>
    <c:showDLblsOverMax val="0"/>
  </c:chart>
  <c:txPr>
    <a:bodyPr/>
    <a:lstStyle/>
    <a:p>
      <a:pPr>
        <a:defRPr sz="1800"/>
      </a:pPr>
      <a:endParaRPr lang="el-G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Φύλλο1!$B$1</c:f>
              <c:strCache>
                <c:ptCount val="1"/>
                <c:pt idx="0">
                  <c:v>Σειρά 1</c:v>
                </c:pt>
              </c:strCache>
            </c:strRef>
          </c:tx>
          <c:spPr>
            <a:solidFill>
              <a:schemeClr val="accent3">
                <a:lumMod val="60000"/>
                <a:lumOff val="40000"/>
              </a:schemeClr>
            </a:solidFill>
          </c:spPr>
          <c:invertIfNegative val="0"/>
          <c:dPt>
            <c:idx val="1"/>
            <c:invertIfNegative val="0"/>
            <c:bubble3D val="0"/>
            <c:spPr>
              <a:solidFill>
                <a:schemeClr val="accent4">
                  <a:lumMod val="40000"/>
                  <a:lumOff val="60000"/>
                </a:schemeClr>
              </a:solidFill>
            </c:spPr>
          </c:dPt>
          <c:dPt>
            <c:idx val="3"/>
            <c:invertIfNegative val="0"/>
            <c:bubble3D val="0"/>
            <c:spPr>
              <a:solidFill>
                <a:schemeClr val="accent4">
                  <a:lumMod val="40000"/>
                  <a:lumOff val="60000"/>
                </a:schemeClr>
              </a:solidFill>
            </c:spPr>
          </c:dPt>
          <c:dPt>
            <c:idx val="5"/>
            <c:invertIfNegative val="0"/>
            <c:bubble3D val="0"/>
            <c:spPr>
              <a:solidFill>
                <a:schemeClr val="accent4">
                  <a:lumMod val="40000"/>
                  <a:lumOff val="60000"/>
                </a:schemeClr>
              </a:solidFill>
            </c:spPr>
          </c:dPt>
          <c:dPt>
            <c:idx val="7"/>
            <c:invertIfNegative val="0"/>
            <c:bubble3D val="0"/>
            <c:spPr>
              <a:solidFill>
                <a:schemeClr val="accent4">
                  <a:lumMod val="40000"/>
                  <a:lumOff val="60000"/>
                </a:schemeClr>
              </a:solidFill>
            </c:spPr>
          </c:dPt>
          <c:dPt>
            <c:idx val="9"/>
            <c:invertIfNegative val="0"/>
            <c:bubble3D val="0"/>
            <c:spPr>
              <a:solidFill>
                <a:schemeClr val="accent4">
                  <a:lumMod val="40000"/>
                  <a:lumOff val="60000"/>
                </a:schemeClr>
              </a:solidFill>
            </c:spPr>
          </c:dPt>
          <c:dPt>
            <c:idx val="11"/>
            <c:invertIfNegative val="0"/>
            <c:bubble3D val="0"/>
            <c:spPr>
              <a:solidFill>
                <a:schemeClr val="accent4">
                  <a:lumMod val="40000"/>
                  <a:lumOff val="60000"/>
                </a:schemeClr>
              </a:solidFill>
            </c:spPr>
          </c:dPt>
          <c:dPt>
            <c:idx val="13"/>
            <c:invertIfNegative val="0"/>
            <c:bubble3D val="0"/>
            <c:spPr>
              <a:solidFill>
                <a:schemeClr val="accent4">
                  <a:lumMod val="40000"/>
                  <a:lumOff val="60000"/>
                </a:schemeClr>
              </a:solidFill>
            </c:spPr>
          </c:dPt>
          <c:dLbls>
            <c:txPr>
              <a:bodyPr/>
              <a:lstStyle/>
              <a:p>
                <a:pPr>
                  <a:defRPr sz="800">
                    <a:latin typeface="Calibri" panose="020F0502020204030204" pitchFamily="34" charset="0"/>
                  </a:defRPr>
                </a:pPr>
                <a:endParaRPr lang="el-GR"/>
              </a:p>
            </c:txPr>
            <c:showLegendKey val="0"/>
            <c:showVal val="1"/>
            <c:showCatName val="0"/>
            <c:showSerName val="0"/>
            <c:showPercent val="0"/>
            <c:showBubbleSize val="0"/>
            <c:showLeaderLines val="0"/>
          </c:dLbls>
          <c:cat>
            <c:strRef>
              <c:f>Φύλλο1!$A$2:$A$15</c:f>
              <c:strCache>
                <c:ptCount val="14"/>
                <c:pt idx="0">
                  <c:v>ΙΟΥΛ. 2010</c:v>
                </c:pt>
                <c:pt idx="1">
                  <c:v>ΙΑΝ. 2011</c:v>
                </c:pt>
                <c:pt idx="2">
                  <c:v>ΙΟΥΛ. 2011</c:v>
                </c:pt>
                <c:pt idx="3">
                  <c:v>ΙΑΝ. 2012</c:v>
                </c:pt>
                <c:pt idx="4">
                  <c:v>ΙΟΥΛ. 2012</c:v>
                </c:pt>
                <c:pt idx="5">
                  <c:v>ΙΑΝ. 2013</c:v>
                </c:pt>
                <c:pt idx="6">
                  <c:v>ΙΟΥΛ. 2013</c:v>
                </c:pt>
                <c:pt idx="7">
                  <c:v>ΦΕΒΡ. 2014</c:v>
                </c:pt>
                <c:pt idx="8">
                  <c:v>ΙΟΥΛ. 2014</c:v>
                </c:pt>
                <c:pt idx="9">
                  <c:v>ΦΕΒΡ. 2015</c:v>
                </c:pt>
                <c:pt idx="10">
                  <c:v>ΙΟΥΛ. 2015</c:v>
                </c:pt>
                <c:pt idx="11">
                  <c:v>ΦΕΒΡ. 2016</c:v>
                </c:pt>
                <c:pt idx="12">
                  <c:v>ΙΟΥΛ. 2016</c:v>
                </c:pt>
                <c:pt idx="13">
                  <c:v>ΦΕΒΡ. 2017</c:v>
                </c:pt>
              </c:strCache>
            </c:strRef>
          </c:cat>
          <c:val>
            <c:numRef>
              <c:f>Φύλλο1!$B$2:$B$15</c:f>
              <c:numCache>
                <c:formatCode>General</c:formatCode>
                <c:ptCount val="14"/>
                <c:pt idx="0">
                  <c:v>30</c:v>
                </c:pt>
                <c:pt idx="1">
                  <c:v>30.2</c:v>
                </c:pt>
                <c:pt idx="2">
                  <c:v>32</c:v>
                </c:pt>
                <c:pt idx="3">
                  <c:v>37.4</c:v>
                </c:pt>
                <c:pt idx="4">
                  <c:v>40.5</c:v>
                </c:pt>
                <c:pt idx="5">
                  <c:v>47.7</c:v>
                </c:pt>
                <c:pt idx="6">
                  <c:v>50.5</c:v>
                </c:pt>
                <c:pt idx="7">
                  <c:v>47.7</c:v>
                </c:pt>
                <c:pt idx="8">
                  <c:v>42.7</c:v>
                </c:pt>
                <c:pt idx="9">
                  <c:v>43</c:v>
                </c:pt>
                <c:pt idx="10">
                  <c:v>39</c:v>
                </c:pt>
                <c:pt idx="11">
                  <c:v>45.2</c:v>
                </c:pt>
                <c:pt idx="12">
                  <c:v>33.700000000000003</c:v>
                </c:pt>
                <c:pt idx="13">
                  <c:v>37.200000000000003</c:v>
                </c:pt>
              </c:numCache>
            </c:numRef>
          </c:val>
        </c:ser>
        <c:dLbls>
          <c:showLegendKey val="0"/>
          <c:showVal val="0"/>
          <c:showCatName val="0"/>
          <c:showSerName val="0"/>
          <c:showPercent val="0"/>
          <c:showBubbleSize val="0"/>
        </c:dLbls>
        <c:gapWidth val="75"/>
        <c:axId val="112517888"/>
        <c:axId val="112519424"/>
      </c:barChart>
      <c:catAx>
        <c:axId val="112517888"/>
        <c:scaling>
          <c:orientation val="minMax"/>
        </c:scaling>
        <c:delete val="0"/>
        <c:axPos val="b"/>
        <c:majorTickMark val="out"/>
        <c:minorTickMark val="none"/>
        <c:tickLblPos val="nextTo"/>
        <c:txPr>
          <a:bodyPr/>
          <a:lstStyle/>
          <a:p>
            <a:pPr>
              <a:defRPr sz="800">
                <a:latin typeface="Calibri" panose="020F0502020204030204" pitchFamily="34" charset="0"/>
              </a:defRPr>
            </a:pPr>
            <a:endParaRPr lang="el-GR"/>
          </a:p>
        </c:txPr>
        <c:crossAx val="112519424"/>
        <c:crosses val="autoZero"/>
        <c:auto val="1"/>
        <c:lblAlgn val="ctr"/>
        <c:lblOffset val="100"/>
        <c:noMultiLvlLbl val="0"/>
      </c:catAx>
      <c:valAx>
        <c:axId val="112519424"/>
        <c:scaling>
          <c:orientation val="minMax"/>
        </c:scaling>
        <c:delete val="0"/>
        <c:axPos val="l"/>
        <c:majorGridlines/>
        <c:numFmt formatCode="General" sourceLinked="1"/>
        <c:majorTickMark val="out"/>
        <c:minorTickMark val="none"/>
        <c:tickLblPos val="nextTo"/>
        <c:txPr>
          <a:bodyPr/>
          <a:lstStyle/>
          <a:p>
            <a:pPr>
              <a:defRPr sz="800">
                <a:latin typeface="Calibri" panose="020F0502020204030204" pitchFamily="34" charset="0"/>
              </a:defRPr>
            </a:pPr>
            <a:endParaRPr lang="el-GR"/>
          </a:p>
        </c:txPr>
        <c:crossAx val="112517888"/>
        <c:crosses val="autoZero"/>
        <c:crossBetween val="between"/>
      </c:valAx>
    </c:plotArea>
    <c:plotVisOnly val="1"/>
    <c:dispBlanksAs val="gap"/>
    <c:showDLblsOverMax val="0"/>
  </c:chart>
  <c:txPr>
    <a:bodyPr/>
    <a:lstStyle/>
    <a:p>
      <a:pPr>
        <a:defRPr sz="1800"/>
      </a:pPr>
      <a:endParaRPr lang="el-GR"/>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0.68154</cdr:x>
      <cdr:y>0.76337</cdr:y>
    </cdr:from>
    <cdr:to>
      <cdr:x>0.98214</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81209" y="1396051"/>
          <a:ext cx="962041" cy="432749"/>
        </a:xfrm>
        <a:prstGeom xmlns:a="http://schemas.openxmlformats.org/drawingml/2006/main" prst="rect">
          <a:avLst/>
        </a:prstGeom>
      </cdr:spPr>
    </cdr:pic>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Ρίγες">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Ρίγες">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Ρίγες">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Ρίγες">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Ρίγες">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Ρίγες">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Ρίγες">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4C8E4-31DB-4F59-8CA2-32E6D551D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6407</Words>
  <Characters>38279</Characters>
  <Application>Microsoft Office Word</Application>
  <DocSecurity>0</DocSecurity>
  <Lines>318</Lines>
  <Paragraphs>89</Paragraphs>
  <ScaleCrop>false</ScaleCrop>
  <HeadingPairs>
    <vt:vector size="2" baseType="variant">
      <vt:variant>
        <vt:lpstr>Τίτλος</vt:lpstr>
      </vt:variant>
      <vt:variant>
        <vt:i4>1</vt:i4>
      </vt:variant>
    </vt:vector>
  </HeadingPairs>
  <TitlesOfParts>
    <vt:vector size="1" baseType="lpstr">
      <vt:lpstr/>
    </vt:vector>
  </TitlesOfParts>
  <Company>ΓΣΕΒΕΕ</Company>
  <LinksUpToDate>false</LinksUpToDate>
  <CharactersWithSpaces>44597</CharactersWithSpaces>
  <SharedDoc>false</SharedDoc>
  <HLinks>
    <vt:vector size="12" baseType="variant">
      <vt:variant>
        <vt:i4>8060992</vt:i4>
      </vt:variant>
      <vt:variant>
        <vt:i4>3</vt:i4>
      </vt:variant>
      <vt:variant>
        <vt:i4>0</vt:i4>
      </vt:variant>
      <vt:variant>
        <vt:i4>5</vt:i4>
      </vt:variant>
      <vt:variant>
        <vt:lpwstr>mailto:info@imegsevee.gr</vt:lpwstr>
      </vt:variant>
      <vt:variant>
        <vt:lpwstr/>
      </vt:variant>
      <vt:variant>
        <vt:i4>983046</vt:i4>
      </vt:variant>
      <vt:variant>
        <vt:i4>0</vt:i4>
      </vt:variant>
      <vt:variant>
        <vt:i4>0</vt:i4>
      </vt:variant>
      <vt:variant>
        <vt:i4>5</vt:i4>
      </vt:variant>
      <vt:variant>
        <vt:lpwstr>http://www.imegsevee.gr/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lioliou</dc:creator>
  <cp:lastModifiedBy>Δημήτρης Μπίμπας</cp:lastModifiedBy>
  <cp:revision>3</cp:revision>
  <cp:lastPrinted>2017-03-20T08:44:00Z</cp:lastPrinted>
  <dcterms:created xsi:type="dcterms:W3CDTF">2017-03-22T12:53:00Z</dcterms:created>
  <dcterms:modified xsi:type="dcterms:W3CDTF">2017-03-22T12:56:00Z</dcterms:modified>
</cp:coreProperties>
</file>